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00" w:lineRule="exact"/>
        <w:ind w:firstLine="843" w:firstLineChars="400"/>
        <w:textAlignment w:val="auto"/>
        <w:rPr>
          <w:rFonts w:ascii="Times New Roman" w:hAnsi="Times New Roman"/>
          <w:b/>
          <w:sz w:val="21"/>
        </w:rPr>
      </w:pPr>
    </w:p>
    <w:p>
      <w:pPr>
        <w:pStyle w:val="2"/>
        <w:rPr>
          <w:rFonts w:ascii="Times New Roman" w:hAnsi="Times New Roman"/>
          <w:b/>
          <w:sz w:val="21"/>
        </w:rPr>
      </w:pPr>
    </w:p>
    <w:p>
      <w:pPr>
        <w:spacing w:line="480" w:lineRule="auto"/>
        <w:jc w:val="center"/>
        <w:rPr>
          <w:rFonts w:ascii="宋体" w:hAnsi="宋体" w:cs="Tahoma"/>
          <w:b/>
          <w:sz w:val="48"/>
          <w:szCs w:val="48"/>
        </w:rPr>
      </w:pPr>
    </w:p>
    <w:p>
      <w:pPr>
        <w:jc w:val="center"/>
        <w:rPr>
          <w:rFonts w:hint="eastAsia" w:ascii="黑体" w:hAnsi="黑体" w:eastAsia="黑体" w:cs="黑体"/>
          <w:b/>
          <w:bCs/>
          <w:sz w:val="44"/>
          <w:szCs w:val="52"/>
        </w:rPr>
      </w:pPr>
    </w:p>
    <w:p>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武陟县民政局</w:t>
      </w:r>
    </w:p>
    <w:p>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2022年城乡困难群众临时救助</w:t>
      </w:r>
      <w:r>
        <w:rPr>
          <w:rFonts w:hint="eastAsia" w:ascii="黑体" w:hAnsi="黑体" w:eastAsia="黑体" w:cs="黑体"/>
          <w:b/>
          <w:bCs/>
          <w:sz w:val="44"/>
          <w:szCs w:val="52"/>
        </w:rPr>
        <w:t>项目</w:t>
      </w:r>
      <w:r>
        <w:rPr>
          <w:rFonts w:hint="eastAsia" w:ascii="黑体" w:hAnsi="黑体" w:eastAsia="黑体" w:cs="黑体"/>
          <w:b/>
          <w:bCs/>
          <w:sz w:val="44"/>
          <w:szCs w:val="52"/>
          <w:lang w:val="en-US" w:eastAsia="zh-CN"/>
        </w:rPr>
        <w:t>支出</w:t>
      </w:r>
    </w:p>
    <w:p>
      <w:pPr>
        <w:jc w:val="center"/>
        <w:rPr>
          <w:rFonts w:ascii="黑体" w:hAnsi="黑体" w:eastAsia="黑体" w:cs="黑体"/>
          <w:b/>
          <w:bCs/>
          <w:sz w:val="44"/>
          <w:szCs w:val="52"/>
        </w:rPr>
      </w:pPr>
      <w:r>
        <w:rPr>
          <w:rFonts w:hint="eastAsia" w:ascii="黑体" w:hAnsi="黑体" w:eastAsia="黑体" w:cs="Tahoma"/>
          <w:b/>
          <w:sz w:val="44"/>
          <w:szCs w:val="44"/>
          <w:lang w:val="en-US" w:eastAsia="zh-CN"/>
        </w:rPr>
        <w:t>绩效评价报告</w:t>
      </w:r>
    </w:p>
    <w:p>
      <w:pPr>
        <w:spacing w:line="480" w:lineRule="auto"/>
        <w:ind w:firstLine="2880" w:firstLineChars="1200"/>
        <w:jc w:val="both"/>
        <w:rPr>
          <w:rFonts w:hint="eastAsia" w:ascii="仿宋" w:hAnsi="仿宋" w:eastAsia="仿宋" w:cs="仿宋"/>
          <w:sz w:val="24"/>
          <w:szCs w:val="24"/>
        </w:rPr>
      </w:pPr>
      <w:r>
        <w:rPr>
          <w:rFonts w:hint="eastAsia" w:ascii="仿宋" w:hAnsi="仿宋" w:eastAsia="仿宋" w:cs="仿宋"/>
          <w:sz w:val="24"/>
          <w:szCs w:val="24"/>
        </w:rPr>
        <w:t>豫德之诚绩效评价（2023）第003号</w:t>
      </w:r>
    </w:p>
    <w:p>
      <w:pPr>
        <w:ind w:firstLine="0" w:firstLineChars="0"/>
        <w:rPr>
          <w:rFonts w:ascii="宋体" w:hAnsi="宋体" w:cs="Tahoma"/>
          <w:color w:val="FF0000"/>
        </w:rPr>
      </w:pPr>
    </w:p>
    <w:p>
      <w:pPr>
        <w:ind w:firstLine="560"/>
        <w:rPr>
          <w:rFonts w:ascii="宋体" w:hAnsi="宋体" w:cs="Tahoma"/>
          <w:color w:val="FF0000"/>
        </w:rPr>
      </w:pPr>
    </w:p>
    <w:p>
      <w:pPr>
        <w:ind w:firstLine="560"/>
        <w:rPr>
          <w:rFonts w:ascii="宋体" w:hAnsi="宋体" w:cs="Tahoma"/>
          <w:color w:val="FF0000"/>
        </w:rPr>
      </w:pPr>
    </w:p>
    <w:p>
      <w:pPr>
        <w:ind w:firstLine="560"/>
        <w:rPr>
          <w:rFonts w:ascii="宋体" w:hAnsi="宋体" w:cs="Tahoma"/>
          <w:color w:val="FF0000"/>
        </w:rPr>
      </w:pPr>
    </w:p>
    <w:p>
      <w:pPr>
        <w:ind w:firstLine="560"/>
        <w:rPr>
          <w:rFonts w:ascii="宋体" w:hAnsi="宋体" w:cs="Tahoma"/>
          <w:color w:val="FF0000"/>
        </w:rPr>
      </w:pPr>
    </w:p>
    <w:p>
      <w:pPr>
        <w:ind w:firstLine="560"/>
        <w:rPr>
          <w:rFonts w:ascii="宋体" w:hAnsi="宋体" w:cs="Tahoma"/>
          <w:color w:val="FF0000"/>
        </w:rPr>
      </w:pPr>
    </w:p>
    <w:p>
      <w:pPr>
        <w:ind w:firstLine="560"/>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pStyle w:val="2"/>
        <w:rPr>
          <w:rFonts w:ascii="宋体" w:hAnsi="宋体" w:cs="Tahoma"/>
          <w:color w:val="FF0000"/>
        </w:rPr>
      </w:pPr>
    </w:p>
    <w:p>
      <w:pPr>
        <w:ind w:firstLine="560"/>
        <w:rPr>
          <w:rFonts w:ascii="宋体" w:hAnsi="宋体" w:cs="Tahoma"/>
          <w:color w:val="FF0000"/>
        </w:rPr>
      </w:pPr>
    </w:p>
    <w:p>
      <w:pPr>
        <w:spacing w:line="480" w:lineRule="auto"/>
        <w:ind w:firstLine="1506" w:firstLineChars="500"/>
        <w:rPr>
          <w:rFonts w:ascii="仿宋" w:hAnsi="仿宋" w:eastAsia="仿宋" w:cs="Tahoma"/>
          <w:b/>
          <w:sz w:val="30"/>
          <w:szCs w:val="30"/>
        </w:rPr>
      </w:pPr>
      <w:r>
        <w:rPr>
          <w:rFonts w:ascii="仿宋" w:hAnsi="仿宋" w:eastAsia="仿宋" w:cs="Tahoma"/>
          <w:b/>
          <w:sz w:val="30"/>
          <w:szCs w:val="30"/>
        </w:rPr>
        <w:t>委托部门：</w:t>
      </w:r>
      <w:r>
        <w:rPr>
          <w:rFonts w:hint="eastAsia" w:ascii="仿宋" w:hAnsi="仿宋" w:eastAsia="仿宋" w:cs="Tahoma"/>
          <w:sz w:val="30"/>
          <w:szCs w:val="30"/>
          <w:lang w:val="en-US" w:eastAsia="zh-CN"/>
        </w:rPr>
        <w:t>武陟县</w:t>
      </w:r>
      <w:r>
        <w:rPr>
          <w:rFonts w:hint="eastAsia" w:ascii="仿宋" w:hAnsi="仿宋" w:eastAsia="仿宋" w:cs="Tahoma"/>
          <w:sz w:val="30"/>
          <w:szCs w:val="30"/>
        </w:rPr>
        <w:t>财政局</w:t>
      </w:r>
    </w:p>
    <w:p>
      <w:pPr>
        <w:spacing w:line="480" w:lineRule="auto"/>
        <w:ind w:firstLine="1506" w:firstLineChars="500"/>
        <w:rPr>
          <w:rFonts w:hint="default" w:ascii="仿宋" w:hAnsi="仿宋" w:eastAsia="仿宋" w:cs="Tahoma"/>
          <w:b/>
          <w:sz w:val="30"/>
          <w:szCs w:val="30"/>
          <w:lang w:val="en-US" w:eastAsia="zh-CN"/>
        </w:rPr>
      </w:pPr>
      <w:r>
        <w:rPr>
          <w:rFonts w:ascii="仿宋" w:hAnsi="仿宋" w:eastAsia="仿宋" w:cs="Tahoma"/>
          <w:b/>
          <w:sz w:val="30"/>
          <w:szCs w:val="30"/>
        </w:rPr>
        <w:t>评价机构：</w:t>
      </w:r>
      <w:r>
        <w:rPr>
          <w:rFonts w:hint="eastAsia" w:ascii="仿宋" w:hAnsi="仿宋" w:eastAsia="仿宋" w:cs="Tahoma"/>
          <w:sz w:val="30"/>
          <w:szCs w:val="30"/>
          <w:lang w:val="en-US" w:eastAsia="zh-CN"/>
        </w:rPr>
        <w:t>河南德之诚会计师事务所（普通合伙）</w:t>
      </w:r>
    </w:p>
    <w:p>
      <w:pPr>
        <w:ind w:firstLine="1461" w:firstLineChars="485"/>
        <w:jc w:val="both"/>
        <w:rPr>
          <w:rFonts w:ascii="仿宋" w:hAnsi="仿宋" w:eastAsia="仿宋" w:cs="Tahoma"/>
          <w:b/>
          <w:sz w:val="30"/>
          <w:szCs w:val="30"/>
        </w:rPr>
      </w:pPr>
      <w:r>
        <w:rPr>
          <w:rFonts w:hint="eastAsia" w:ascii="仿宋" w:hAnsi="仿宋" w:eastAsia="仿宋" w:cs="Tahoma"/>
          <w:b/>
          <w:sz w:val="30"/>
          <w:szCs w:val="30"/>
          <w:lang w:val="en-US" w:eastAsia="zh-CN"/>
        </w:rPr>
        <w:t>评价日期：</w:t>
      </w:r>
      <w:r>
        <w:rPr>
          <w:rFonts w:ascii="仿宋" w:hAnsi="仿宋" w:eastAsia="仿宋" w:cs="Tahoma"/>
          <w:b/>
          <w:sz w:val="30"/>
          <w:szCs w:val="30"/>
        </w:rPr>
        <w:t>二</w:t>
      </w:r>
      <w:r>
        <w:rPr>
          <w:rFonts w:hint="eastAsia" w:ascii="仿宋" w:hAnsi="仿宋" w:eastAsia="仿宋" w:cs="Tahoma"/>
          <w:b/>
          <w:sz w:val="30"/>
          <w:szCs w:val="30"/>
        </w:rPr>
        <w:t>〇二</w:t>
      </w:r>
      <w:r>
        <w:rPr>
          <w:rFonts w:hint="eastAsia" w:ascii="仿宋" w:hAnsi="仿宋" w:eastAsia="仿宋" w:cs="Tahoma"/>
          <w:b/>
          <w:sz w:val="30"/>
          <w:szCs w:val="30"/>
          <w:lang w:val="en-US" w:eastAsia="zh-CN"/>
        </w:rPr>
        <w:t>三</w:t>
      </w:r>
      <w:r>
        <w:rPr>
          <w:rFonts w:ascii="仿宋" w:hAnsi="仿宋" w:eastAsia="仿宋" w:cs="Tahoma"/>
          <w:b/>
          <w:sz w:val="30"/>
          <w:szCs w:val="30"/>
        </w:rPr>
        <w:t>年</w:t>
      </w:r>
      <w:r>
        <w:rPr>
          <w:rFonts w:hint="eastAsia" w:ascii="仿宋" w:hAnsi="仿宋" w:eastAsia="仿宋" w:cs="Tahoma"/>
          <w:b/>
          <w:sz w:val="30"/>
          <w:szCs w:val="30"/>
          <w:lang w:val="en-US" w:eastAsia="zh-CN"/>
        </w:rPr>
        <w:t>七</w:t>
      </w:r>
      <w:r>
        <w:rPr>
          <w:rFonts w:ascii="仿宋" w:hAnsi="仿宋" w:eastAsia="仿宋" w:cs="Tahoma"/>
          <w:b/>
          <w:sz w:val="30"/>
          <w:szCs w:val="30"/>
        </w:rPr>
        <w:t>月</w:t>
      </w:r>
    </w:p>
    <w:p>
      <w:pPr>
        <w:ind w:firstLine="0" w:firstLineChars="0"/>
      </w:pPr>
    </w:p>
    <w:p>
      <w:pPr>
        <w:jc w:val="center"/>
        <w:rPr>
          <w:rFonts w:hint="eastAsia" w:ascii="黑体" w:hAnsi="黑体" w:eastAsia="黑体" w:cs="黑体"/>
          <w:b/>
          <w:bCs/>
          <w:sz w:val="44"/>
          <w:szCs w:val="52"/>
          <w:lang w:val="en-US" w:eastAsia="zh-CN"/>
        </w:rPr>
      </w:pPr>
    </w:p>
    <w:p>
      <w:pPr>
        <w:jc w:val="center"/>
        <w:rPr>
          <w:rFonts w:hint="eastAsia" w:ascii="黑体" w:hAnsi="黑体" w:eastAsia="黑体" w:cs="黑体"/>
          <w:b/>
          <w:bCs/>
          <w:sz w:val="44"/>
          <w:szCs w:val="52"/>
          <w:lang w:val="en-US" w:eastAsia="zh-CN"/>
        </w:rPr>
        <w:sectPr>
          <w:pgSz w:w="11906" w:h="16838"/>
          <w:pgMar w:top="1440" w:right="1066" w:bottom="1440" w:left="1800" w:header="851" w:footer="992" w:gutter="0"/>
          <w:cols w:space="425" w:num="1"/>
          <w:docGrid w:type="lines" w:linePitch="312" w:charSpace="0"/>
        </w:sectPr>
      </w:pPr>
    </w:p>
    <w:p>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 xml:space="preserve"> 武陟县民政局</w:t>
      </w:r>
    </w:p>
    <w:p>
      <w:pPr>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2022年城乡困难群众临时救助项目支出</w:t>
      </w:r>
    </w:p>
    <w:p>
      <w:pPr>
        <w:keepNext w:val="0"/>
        <w:keepLines w:val="0"/>
        <w:pageBreakBefore w:val="0"/>
        <w:widowControl w:val="0"/>
        <w:kinsoku/>
        <w:wordWrap/>
        <w:overflowPunct/>
        <w:topLinePunct w:val="0"/>
        <w:autoSpaceDE/>
        <w:autoSpaceDN/>
        <w:bidi w:val="0"/>
        <w:adjustRightInd/>
        <w:snapToGrid/>
        <w:spacing w:line="360" w:lineRule="auto"/>
        <w:ind w:firstLine="3092" w:firstLineChars="700"/>
        <w:jc w:val="both"/>
        <w:textAlignment w:val="auto"/>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绩效评价报告概要</w:t>
      </w:r>
    </w:p>
    <w:p>
      <w:pPr>
        <w:spacing w:line="480" w:lineRule="auto"/>
        <w:ind w:firstLine="2880" w:firstLineChars="1200"/>
        <w:jc w:val="right"/>
        <w:rPr>
          <w:rFonts w:hint="default" w:ascii="仿宋" w:hAnsi="仿宋" w:eastAsia="仿宋" w:cs="Tahoma"/>
          <w:sz w:val="24"/>
          <w:szCs w:val="24"/>
          <w:lang w:val="en-US" w:eastAsia="zh-CN"/>
        </w:rPr>
      </w:pPr>
      <w:r>
        <w:rPr>
          <w:rFonts w:hint="default" w:ascii="仿宋" w:hAnsi="仿宋" w:eastAsia="仿宋" w:cs="Tahoma"/>
          <w:sz w:val="24"/>
          <w:szCs w:val="24"/>
          <w:lang w:val="en-US" w:eastAsia="zh-CN"/>
        </w:rPr>
        <w:t>豫德之诚绩效评价（2023）第003号</w:t>
      </w:r>
    </w:p>
    <w:p>
      <w:pPr>
        <w:pStyle w:val="2"/>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黑体" w:hAnsi="宋体" w:eastAsia="黑体" w:cs="黑体"/>
          <w:color w:val="000000"/>
          <w:kern w:val="0"/>
          <w:sz w:val="30"/>
          <w:szCs w:val="30"/>
          <w:highlight w:val="none"/>
          <w:lang w:val="en-US" w:eastAsia="zh-CN" w:bidi="ar"/>
        </w:rPr>
      </w:pPr>
      <w:r>
        <w:rPr>
          <w:rFonts w:ascii="仿宋_GB2312" w:hAnsi="仿宋_GB2312" w:eastAsia="仿宋_GB2312" w:cs="仿宋_GB2312"/>
          <w:color w:val="000000"/>
          <w:kern w:val="0"/>
          <w:sz w:val="30"/>
          <w:szCs w:val="30"/>
          <w:highlight w:val="none"/>
          <w:lang w:val="en-US" w:eastAsia="zh-CN" w:bidi="ar"/>
        </w:rPr>
        <w:t xml:space="preserve"> </w:t>
      </w:r>
      <w:r>
        <w:rPr>
          <w:rFonts w:hint="eastAsia" w:ascii="仿宋_GB2312" w:hAnsi="仿宋_GB2312" w:eastAsia="仿宋_GB2312" w:cs="仿宋_GB2312"/>
          <w:color w:val="000000"/>
          <w:kern w:val="0"/>
          <w:sz w:val="30"/>
          <w:szCs w:val="30"/>
          <w:highlight w:val="none"/>
          <w:lang w:val="en-US" w:eastAsia="zh-CN" w:bidi="ar"/>
        </w:rPr>
        <w:t xml:space="preserve">  </w:t>
      </w:r>
      <w:r>
        <w:rPr>
          <w:rFonts w:hint="eastAsia" w:ascii="黑体" w:hAnsi="宋体" w:eastAsia="黑体" w:cs="黑体"/>
          <w:color w:val="000000"/>
          <w:kern w:val="0"/>
          <w:sz w:val="30"/>
          <w:szCs w:val="30"/>
          <w:highlight w:val="none"/>
          <w:lang w:val="en-US" w:eastAsia="zh-CN" w:bidi="ar"/>
        </w:rPr>
        <w:t>一、项目概要</w:t>
      </w:r>
    </w:p>
    <w:p>
      <w:pPr>
        <w:pStyle w:val="2"/>
        <w:spacing w:line="240" w:lineRule="auto"/>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2022年武陟县民政局收到临时救助中央资金327333元，调剂乡镇备用金户救助资金905820元，共计临时救助资金1233153元。实际发放资金975110元（包括中央资金327333元，乡镇账户调剂资金647777元），实物发放307447元。</w:t>
      </w:r>
    </w:p>
    <w:p>
      <w:pPr>
        <w:spacing w:line="240" w:lineRule="auto"/>
        <w:ind w:firstLine="560" w:firstLineChars="200"/>
        <w:jc w:val="left"/>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2022年度共发放给临时救助对象945人，发放实物对象1841人。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600" w:firstLineChars="200"/>
        <w:jc w:val="left"/>
        <w:textAlignment w:val="auto"/>
        <w:rPr>
          <w:rFonts w:hint="default" w:ascii="仿宋_GB2312" w:hAnsi="仿宋_GB2312" w:eastAsia="仿宋_GB2312" w:cs="仿宋_GB2312"/>
          <w:b/>
          <w:bCs/>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二、评价结论摘要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8"/>
          <w:szCs w:val="28"/>
          <w:highlight w:val="yellow"/>
          <w:lang w:val="en-US" w:eastAsia="zh-CN" w:bidi="ar"/>
        </w:rPr>
      </w:pPr>
      <w:r>
        <w:rPr>
          <w:rFonts w:hint="eastAsia" w:ascii="仿宋_GB2312" w:hAnsi="仿宋_GB2312" w:eastAsia="仿宋_GB2312" w:cs="仿宋_GB2312"/>
          <w:b/>
          <w:bCs/>
          <w:color w:val="000000"/>
          <w:kern w:val="0"/>
          <w:sz w:val="30"/>
          <w:szCs w:val="30"/>
          <w:highlight w:val="none"/>
          <w:lang w:val="en-US" w:eastAsia="zh-CN" w:bidi="ar"/>
        </w:rPr>
        <w:t xml:space="preserve"> </w:t>
      </w:r>
      <w:r>
        <w:rPr>
          <w:rFonts w:ascii="仿宋_GB2312" w:hAnsi="仿宋_GB2312" w:eastAsia="仿宋_GB2312" w:cs="仿宋_GB2312"/>
          <w:b/>
          <w:bCs/>
          <w:color w:val="000000"/>
          <w:kern w:val="0"/>
          <w:sz w:val="30"/>
          <w:szCs w:val="30"/>
          <w:highlight w:val="none"/>
          <w:lang w:val="en-US" w:eastAsia="zh-CN" w:bidi="ar"/>
        </w:rPr>
        <w:t xml:space="preserve"> </w:t>
      </w:r>
      <w:r>
        <w:rPr>
          <w:rFonts w:hint="eastAsia" w:ascii="仿宋_GB2312" w:hAnsi="仿宋_GB2312" w:eastAsia="仿宋_GB2312" w:cs="仿宋_GB2312"/>
          <w:b/>
          <w:bCs/>
          <w:color w:val="000000"/>
          <w:kern w:val="0"/>
          <w:sz w:val="30"/>
          <w:szCs w:val="30"/>
          <w:highlight w:val="none"/>
          <w:lang w:val="en-US" w:eastAsia="zh-CN" w:bidi="ar"/>
        </w:rPr>
        <w:t xml:space="preserve"> </w:t>
      </w:r>
      <w:r>
        <w:rPr>
          <w:rFonts w:hint="eastAsia" w:ascii="仿宋" w:hAnsi="仿宋" w:eastAsia="仿宋" w:cs="仿宋"/>
          <w:color w:val="000000"/>
          <w:kern w:val="0"/>
          <w:sz w:val="28"/>
          <w:szCs w:val="28"/>
          <w:highlight w:val="none"/>
          <w:lang w:val="en-US" w:eastAsia="zh-CN" w:bidi="ar"/>
        </w:rPr>
        <w:t>武陟县民政局城乡困难群众临时救助项目重点绩效评价综合得分83.35分，绩效评价等级为“良”。</w:t>
      </w:r>
    </w:p>
    <w:p>
      <w:pPr>
        <w:pStyle w:val="2"/>
        <w:keepNext w:val="0"/>
        <w:keepLines w:val="0"/>
        <w:pageBreakBefore w:val="0"/>
        <w:numPr>
          <w:ilvl w:val="0"/>
          <w:numId w:val="1"/>
        </w:numPr>
        <w:kinsoku/>
        <w:wordWrap/>
        <w:overflowPunct/>
        <w:topLinePunct w:val="0"/>
        <w:autoSpaceDE/>
        <w:autoSpaceDN/>
        <w:bidi w:val="0"/>
        <w:adjustRightInd/>
        <w:snapToGrid/>
        <w:spacing w:line="240" w:lineRule="auto"/>
        <w:ind w:firstLine="600" w:firstLineChars="200"/>
        <w:textAlignment w:val="auto"/>
        <w:rPr>
          <w:rFonts w:hint="eastAsia"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存在问题摘要</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560" w:leftChars="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color w:val="auto"/>
          <w:sz w:val="28"/>
          <w:szCs w:val="36"/>
          <w:highlight w:val="none"/>
          <w:lang w:val="en-US" w:eastAsia="zh-CN"/>
        </w:rPr>
        <w:t>1、预算金额沿用上年数据，未考虑人口数的变量。</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firstLine="0" w:firstLineChars="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color w:val="auto"/>
          <w:kern w:val="2"/>
          <w:sz w:val="28"/>
          <w:szCs w:val="36"/>
          <w:lang w:val="en-US" w:eastAsia="zh-CN" w:bidi="ar-SA"/>
        </w:rPr>
        <w:t>2、</w:t>
      </w:r>
      <w:r>
        <w:rPr>
          <w:rFonts w:hint="eastAsia" w:ascii="仿宋" w:hAnsi="仿宋" w:eastAsia="仿宋" w:cs="仿宋"/>
          <w:color w:val="auto"/>
          <w:sz w:val="28"/>
          <w:szCs w:val="36"/>
          <w:highlight w:val="none"/>
          <w:lang w:val="en-US" w:eastAsia="zh-CN"/>
        </w:rPr>
        <w:t>资金到位率和预算执行率均有待提高。</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3、项目资金指标调整审批内容不完整。</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4、急难型临时救助审批表中存在救助类别和困难程度认定相同而救助金额不一致的情况，其原因未在审批表中作进一步说明。</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5、乡镇以支出审批（统计表）代替材料调查审核，没有对临时救助对象的一事一审进行审批，仅对统计表进行审批，且经办人为一人而非两人签字。</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6、项目资金账面收支与实际收支（明细）存在不符情况。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 xml:space="preserve">四、有关建议 </w:t>
      </w:r>
    </w:p>
    <w:p>
      <w:pPr>
        <w:pStyle w:val="2"/>
        <w:keepNext w:val="0"/>
        <w:keepLines w:val="0"/>
        <w:pageBreakBefore w:val="0"/>
        <w:numPr>
          <w:ilvl w:val="0"/>
          <w:numId w:val="0"/>
        </w:numPr>
        <w:kinsoku/>
        <w:wordWrap/>
        <w:overflowPunct/>
        <w:topLinePunct w:val="0"/>
        <w:autoSpaceDE/>
        <w:autoSpaceDN/>
        <w:bidi w:val="0"/>
        <w:spacing w:line="360" w:lineRule="auto"/>
        <w:ind w:firstLine="560" w:firstLineChars="200"/>
        <w:textAlignment w:val="auto"/>
        <w:rPr>
          <w:rFonts w:hint="eastAsia" w:ascii="仿宋" w:hAnsi="仿宋" w:eastAsia="仿宋" w:cs="仿宋"/>
          <w:b w:val="0"/>
          <w:bCs w:val="0"/>
          <w:color w:val="auto"/>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1、建议按照绩效目标认真、严谨对待年初预算，做到测算依据充分</w:t>
      </w:r>
    </w:p>
    <w:p>
      <w:pPr>
        <w:pStyle w:val="2"/>
        <w:keepNext w:val="0"/>
        <w:keepLines w:val="0"/>
        <w:pageBreakBefore w:val="0"/>
        <w:numPr>
          <w:ilvl w:val="0"/>
          <w:numId w:val="0"/>
        </w:numPr>
        <w:kinsoku/>
        <w:wordWrap/>
        <w:overflowPunct/>
        <w:topLinePunct w:val="0"/>
        <w:autoSpaceDE/>
        <w:autoSpaceDN/>
        <w:bidi w:val="0"/>
        <w:spacing w:line="360" w:lineRule="auto"/>
        <w:ind w:firstLine="560" w:firstLineChars="20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b w:val="0"/>
          <w:bCs w:val="0"/>
          <w:color w:val="auto"/>
          <w:kern w:val="0"/>
          <w:sz w:val="28"/>
          <w:szCs w:val="28"/>
          <w:highlight w:val="none"/>
          <w:lang w:val="en-US" w:eastAsia="zh-CN" w:bidi="ar"/>
        </w:rPr>
        <w:t>2、建议</w:t>
      </w:r>
      <w:r>
        <w:rPr>
          <w:rFonts w:hint="eastAsia" w:ascii="仿宋" w:hAnsi="仿宋" w:eastAsia="仿宋" w:cs="仿宋"/>
          <w:color w:val="000000"/>
          <w:kern w:val="0"/>
          <w:sz w:val="28"/>
          <w:szCs w:val="28"/>
          <w:highlight w:val="none"/>
          <w:lang w:val="en-US" w:eastAsia="zh-CN" w:bidi="ar"/>
        </w:rPr>
        <w:t>及时对预算执行率进行评估，及时申请对预算进行调整，从而提高</w:t>
      </w:r>
      <w:r>
        <w:rPr>
          <w:rFonts w:hint="eastAsia" w:ascii="仿宋" w:hAnsi="仿宋" w:eastAsia="仿宋" w:cs="仿宋"/>
          <w:color w:val="auto"/>
          <w:sz w:val="28"/>
          <w:szCs w:val="36"/>
          <w:highlight w:val="none"/>
          <w:lang w:val="en-US" w:eastAsia="zh-CN"/>
        </w:rPr>
        <w:t>资金到位率和预算执行率。</w:t>
      </w:r>
    </w:p>
    <w:p>
      <w:pPr>
        <w:pStyle w:val="2"/>
        <w:keepNext w:val="0"/>
        <w:keepLines w:val="0"/>
        <w:pageBreakBefore w:val="0"/>
        <w:numPr>
          <w:ilvl w:val="0"/>
          <w:numId w:val="0"/>
        </w:numPr>
        <w:kinsoku/>
        <w:wordWrap/>
        <w:overflowPunct/>
        <w:topLinePunct w:val="0"/>
        <w:autoSpaceDE/>
        <w:autoSpaceDN/>
        <w:bidi w:val="0"/>
        <w:spacing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3、及时完善</w:t>
      </w:r>
      <w:r>
        <w:rPr>
          <w:rFonts w:hint="eastAsia" w:ascii="仿宋" w:hAnsi="仿宋" w:eastAsia="仿宋" w:cs="仿宋"/>
          <w:color w:val="000000"/>
          <w:kern w:val="0"/>
          <w:sz w:val="28"/>
          <w:szCs w:val="28"/>
          <w:highlight w:val="none"/>
          <w:lang w:val="en-US" w:eastAsia="zh-CN" w:bidi="ar"/>
        </w:rPr>
        <w:t>项目资金指标调整审批内容的签字等细节，并做好复核。</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4、由于规定的临时救助标准档次较多，存在较高的主观判断，建议按照《焦作市临时救助实施细则》（焦民[2020]7号）文件“第九条救助标准（一）急难型临时救助标准。</w:t>
      </w:r>
      <w:r>
        <w:rPr>
          <w:rFonts w:hint="default" w:ascii="仿宋" w:hAnsi="仿宋" w:eastAsia="仿宋" w:cs="仿宋"/>
          <w:color w:val="000000"/>
          <w:kern w:val="0"/>
          <w:sz w:val="28"/>
          <w:szCs w:val="28"/>
          <w:highlight w:val="none"/>
          <w:lang w:val="en-US" w:eastAsia="zh-CN" w:bidi="ar"/>
        </w:rPr>
        <w:t>”</w:t>
      </w:r>
      <w:r>
        <w:rPr>
          <w:rFonts w:hint="eastAsia" w:ascii="仿宋" w:hAnsi="仿宋" w:eastAsia="仿宋" w:cs="仿宋"/>
          <w:color w:val="000000"/>
          <w:kern w:val="0"/>
          <w:sz w:val="28"/>
          <w:szCs w:val="28"/>
          <w:highlight w:val="none"/>
          <w:lang w:val="en-US" w:eastAsia="zh-CN" w:bidi="ar"/>
        </w:rPr>
        <w:t>的规定，设定不同类别、不同困难程度确定的救助金额，并考虑家庭救助人数和救助时长（不超6个月）的因素，并形成专门的对救助对象救助金额标准的选择设定具体认定的程序，尽量做到客观公正公平。</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5、建议</w:t>
      </w:r>
      <w:r>
        <w:rPr>
          <w:rFonts w:hint="eastAsia" w:ascii="仿宋" w:hAnsi="仿宋" w:eastAsia="仿宋" w:cs="仿宋"/>
          <w:color w:val="000000"/>
          <w:kern w:val="0"/>
          <w:sz w:val="28"/>
          <w:szCs w:val="28"/>
          <w:highlight w:val="none"/>
          <w:lang w:val="en-US" w:eastAsia="zh-CN" w:bidi="ar"/>
        </w:rPr>
        <w:t>乡镇办事处自受理临时救助申请之日起10个工作日内，在村（居）民委员会协助下，组织工作人员对申请人家庭经济状况和实际生活情况逐一进行调查核实审批，做到一户一表、一事一审，且每组调查人员不得少于2人签字。</w:t>
      </w:r>
    </w:p>
    <w:p>
      <w:pPr>
        <w:pStyle w:val="2"/>
        <w:keepNext w:val="0"/>
        <w:keepLines w:val="0"/>
        <w:pageBreakBefore w:val="0"/>
        <w:numPr>
          <w:ilvl w:val="0"/>
          <w:numId w:val="0"/>
        </w:numPr>
        <w:kinsoku/>
        <w:wordWrap/>
        <w:overflowPunct/>
        <w:topLinePunct w:val="0"/>
        <w:autoSpaceDE/>
        <w:autoSpaceDN/>
        <w:bidi w:val="0"/>
        <w:spacing w:line="360" w:lineRule="auto"/>
        <w:ind w:firstLine="560" w:firstLineChars="200"/>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auto"/>
          <w:kern w:val="0"/>
          <w:sz w:val="28"/>
          <w:szCs w:val="28"/>
          <w:highlight w:val="none"/>
          <w:lang w:val="en-US" w:eastAsia="zh-CN" w:bidi="ar"/>
        </w:rPr>
        <w:t>6、</w:t>
      </w:r>
      <w:r>
        <w:rPr>
          <w:rFonts w:hint="eastAsia" w:ascii="仿宋" w:hAnsi="仿宋" w:eastAsia="仿宋" w:cs="仿宋"/>
          <w:color w:val="000000"/>
          <w:kern w:val="0"/>
          <w:sz w:val="28"/>
          <w:szCs w:val="28"/>
          <w:highlight w:val="none"/>
          <w:lang w:val="en-US" w:eastAsia="zh-CN" w:bidi="ar"/>
        </w:rPr>
        <w:t>建议对账面收支与实际收支不符的情况及时查找原因，进行账务处理。</w:t>
      </w:r>
    </w:p>
    <w:p>
      <w:pPr>
        <w:ind w:firstLine="0" w:firstLineChars="0"/>
        <w:jc w:val="center"/>
        <w:rPr>
          <w:rFonts w:hint="eastAsia" w:asciiTheme="majorEastAsia" w:hAnsiTheme="majorEastAsia" w:eastAsiaTheme="majorEastAsia" w:cstheme="majorEastAsia"/>
          <w:sz w:val="44"/>
          <w:szCs w:val="44"/>
          <w:highlight w:val="yellow"/>
        </w:rPr>
      </w:pPr>
    </w:p>
    <w:p>
      <w:pPr>
        <w:pStyle w:val="2"/>
        <w:rPr>
          <w:rFonts w:hint="eastAsia" w:asciiTheme="majorEastAsia" w:hAnsiTheme="majorEastAsia" w:eastAsiaTheme="majorEastAsia" w:cstheme="majorEastAsia"/>
          <w:sz w:val="44"/>
          <w:szCs w:val="44"/>
          <w:highlight w:val="yellow"/>
        </w:rPr>
      </w:pPr>
    </w:p>
    <w:p>
      <w:pPr>
        <w:pStyle w:val="2"/>
        <w:rPr>
          <w:rFonts w:hint="eastAsia" w:asciiTheme="majorEastAsia" w:hAnsiTheme="majorEastAsia" w:eastAsiaTheme="majorEastAsia" w:cstheme="majorEastAsia"/>
          <w:sz w:val="44"/>
          <w:szCs w:val="44"/>
          <w:highlight w:val="yellow"/>
        </w:rPr>
      </w:pPr>
    </w:p>
    <w:p>
      <w:pPr>
        <w:ind w:firstLine="0" w:firstLineChars="0"/>
        <w:jc w:val="center"/>
        <w:rPr>
          <w:rFonts w:ascii="宋体" w:hAnsi="宋体"/>
          <w:sz w:val="21"/>
        </w:rPr>
      </w:pPr>
      <w:r>
        <w:rPr>
          <w:rFonts w:hint="eastAsia" w:asciiTheme="majorEastAsia" w:hAnsiTheme="majorEastAsia" w:eastAsiaTheme="majorEastAsia" w:cstheme="majorEastAsia"/>
          <w:sz w:val="44"/>
          <w:szCs w:val="44"/>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textAlignment w:val="auto"/>
        <w:rPr>
          <w:rFonts w:hint="eastAsia" w:eastAsiaTheme="minorEastAsia"/>
          <w:sz w:val="24"/>
          <w:szCs w:val="24"/>
          <w:lang w:val="en-US" w:eastAsia="zh-CN"/>
        </w:rPr>
      </w:pPr>
      <w:r>
        <w:fldChar w:fldCharType="begin"/>
      </w:r>
      <w:r>
        <w:instrText xml:space="preserve">TOC \o "1-2" \h \u </w:instrText>
      </w:r>
      <w:r>
        <w:fldChar w:fldCharType="separate"/>
      </w:r>
      <w:r>
        <w:rPr>
          <w:sz w:val="24"/>
          <w:szCs w:val="24"/>
        </w:rPr>
        <w:fldChar w:fldCharType="begin"/>
      </w:r>
      <w:r>
        <w:rPr>
          <w:sz w:val="24"/>
          <w:szCs w:val="24"/>
        </w:rPr>
        <w:instrText xml:space="preserve"> HYPERLINK \l _Toc14552 </w:instrText>
      </w:r>
      <w:r>
        <w:rPr>
          <w:sz w:val="24"/>
          <w:szCs w:val="24"/>
        </w:rPr>
        <w:fldChar w:fldCharType="separate"/>
      </w:r>
      <w:r>
        <w:rPr>
          <w:rFonts w:hint="eastAsia" w:ascii="仿宋" w:hAnsi="仿宋" w:eastAsia="仿宋" w:cstheme="minorEastAsia"/>
          <w:bCs/>
          <w:sz w:val="24"/>
          <w:szCs w:val="24"/>
        </w:rPr>
        <w:t xml:space="preserve">一、 </w:t>
      </w:r>
      <w:r>
        <w:rPr>
          <w:rFonts w:hint="eastAsia" w:ascii="仿宋" w:hAnsi="仿宋" w:eastAsia="仿宋" w:cstheme="minorEastAsia"/>
          <w:bCs/>
          <w:sz w:val="24"/>
          <w:szCs w:val="24"/>
          <w:lang w:val="en-US" w:eastAsia="zh-CN"/>
        </w:rPr>
        <w:t>基本情况</w:t>
      </w:r>
      <w:r>
        <w:rPr>
          <w:sz w:val="24"/>
          <w:szCs w:val="24"/>
        </w:rPr>
        <w:tab/>
      </w:r>
      <w:r>
        <w:rPr>
          <w:rFonts w:hint="eastAsia"/>
          <w:sz w:val="24"/>
          <w:szCs w:val="24"/>
          <w:lang w:val="en-US" w:eastAsia="zh-CN"/>
        </w:rPr>
        <w:t>-1</w:t>
      </w:r>
      <w:r>
        <w:rPr>
          <w:sz w:val="24"/>
          <w:szCs w:val="24"/>
        </w:rPr>
        <w:fldChar w:fldCharType="end"/>
      </w:r>
      <w:r>
        <w:rPr>
          <w:rFonts w:hint="eastAsia"/>
          <w:sz w:val="24"/>
          <w:szCs w:val="24"/>
          <w:lang w:val="en-US" w:eastAsia="zh-CN"/>
        </w:rPr>
        <w:t>-</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_Toc22304 </w:instrText>
      </w:r>
      <w:r>
        <w:rPr>
          <w:sz w:val="24"/>
          <w:szCs w:val="24"/>
        </w:rPr>
        <w:fldChar w:fldCharType="separate"/>
      </w:r>
      <w:r>
        <w:rPr>
          <w:rFonts w:hint="eastAsia" w:ascii="仿宋" w:hAnsi="仿宋" w:eastAsia="仿宋" w:cstheme="minorEastAsia"/>
          <w:sz w:val="24"/>
          <w:szCs w:val="24"/>
        </w:rPr>
        <w:t>（一）项目</w:t>
      </w:r>
      <w:r>
        <w:rPr>
          <w:rFonts w:hint="eastAsia" w:ascii="仿宋" w:hAnsi="仿宋" w:eastAsia="仿宋" w:cstheme="minorEastAsia"/>
          <w:sz w:val="24"/>
          <w:szCs w:val="24"/>
          <w:lang w:val="en-US" w:eastAsia="zh-CN"/>
        </w:rPr>
        <w:t>概况</w:t>
      </w:r>
      <w:r>
        <w:rPr>
          <w:sz w:val="24"/>
          <w:szCs w:val="24"/>
        </w:rPr>
        <w:tab/>
      </w:r>
      <w:r>
        <w:rPr>
          <w:rFonts w:hint="eastAsia"/>
          <w:sz w:val="24"/>
          <w:szCs w:val="24"/>
          <w:lang w:val="en-US" w:eastAsia="zh-CN"/>
        </w:rPr>
        <w:t>-</w:t>
      </w:r>
      <w:r>
        <w:rPr>
          <w:sz w:val="24"/>
          <w:szCs w:val="24"/>
        </w:rPr>
        <w:fldChar w:fldCharType="end"/>
      </w:r>
      <w:r>
        <w:rPr>
          <w:rFonts w:hint="eastAsia"/>
          <w:sz w:val="24"/>
          <w:szCs w:val="24"/>
          <w:lang w:val="en-US" w:eastAsia="zh-CN"/>
        </w:rPr>
        <w:t>1-</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_Toc30138 </w:instrText>
      </w:r>
      <w:r>
        <w:rPr>
          <w:sz w:val="24"/>
          <w:szCs w:val="24"/>
        </w:rPr>
        <w:fldChar w:fldCharType="separate"/>
      </w:r>
      <w:r>
        <w:rPr>
          <w:rFonts w:hint="eastAsia" w:ascii="仿宋" w:hAnsi="仿宋" w:eastAsia="仿宋" w:cs="仿宋"/>
          <w:sz w:val="24"/>
          <w:szCs w:val="24"/>
          <w:shd w:val="clear" w:color="auto" w:fill="FFFFFF"/>
        </w:rPr>
        <w:t>（二）</w:t>
      </w:r>
      <w:r>
        <w:rPr>
          <w:sz w:val="24"/>
          <w:szCs w:val="24"/>
        </w:rPr>
        <w:fldChar w:fldCharType="end"/>
      </w:r>
      <w:r>
        <w:rPr>
          <w:sz w:val="24"/>
          <w:szCs w:val="24"/>
        </w:rPr>
        <w:fldChar w:fldCharType="begin"/>
      </w:r>
      <w:r>
        <w:rPr>
          <w:sz w:val="24"/>
          <w:szCs w:val="24"/>
        </w:rPr>
        <w:instrText xml:space="preserve"> HYPERLINK \l _Toc21387 </w:instrText>
      </w:r>
      <w:r>
        <w:rPr>
          <w:sz w:val="24"/>
          <w:szCs w:val="24"/>
        </w:rPr>
        <w:fldChar w:fldCharType="separate"/>
      </w:r>
      <w:r>
        <w:rPr>
          <w:rFonts w:hint="eastAsia" w:ascii="仿宋" w:hAnsi="仿宋" w:eastAsia="仿宋" w:cstheme="minorEastAsia"/>
          <w:kern w:val="2"/>
          <w:sz w:val="24"/>
          <w:szCs w:val="24"/>
          <w:lang w:val="en-US" w:eastAsia="zh-CN" w:bidi="ar-SA"/>
        </w:rPr>
        <w:t>绩效目标</w:t>
      </w:r>
      <w:r>
        <w:rPr>
          <w:sz w:val="24"/>
          <w:szCs w:val="24"/>
        </w:rPr>
        <w:tab/>
      </w:r>
      <w:r>
        <w:rPr>
          <w:sz w:val="24"/>
          <w:szCs w:val="24"/>
        </w:rPr>
        <w:fldChar w:fldCharType="end"/>
      </w:r>
      <w:r>
        <w:rPr>
          <w:rFonts w:hint="eastAsia"/>
          <w:sz w:val="24"/>
          <w:szCs w:val="24"/>
          <w:lang w:val="en-US" w:eastAsia="zh-CN"/>
        </w:rPr>
        <w:t>-5-</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_Toc19326 </w:instrText>
      </w:r>
      <w:r>
        <w:rPr>
          <w:sz w:val="24"/>
          <w:szCs w:val="24"/>
        </w:rPr>
        <w:fldChar w:fldCharType="separate"/>
      </w:r>
      <w:r>
        <w:rPr>
          <w:rFonts w:hint="eastAsia" w:ascii="仿宋" w:hAnsi="仿宋" w:eastAsia="仿宋" w:cstheme="minorEastAsia"/>
          <w:sz w:val="24"/>
          <w:szCs w:val="24"/>
        </w:rPr>
        <w:t>二、</w:t>
      </w:r>
      <w:r>
        <w:rPr>
          <w:rFonts w:hint="eastAsia" w:ascii="仿宋" w:hAnsi="仿宋" w:eastAsia="仿宋" w:cstheme="minorEastAsia"/>
          <w:kern w:val="2"/>
          <w:sz w:val="24"/>
          <w:szCs w:val="24"/>
          <w:lang w:val="en-US" w:eastAsia="zh-CN" w:bidi="ar-SA"/>
        </w:rPr>
        <w:t>绩效评价工作开展情况</w:t>
      </w:r>
      <w:r>
        <w:rPr>
          <w:sz w:val="24"/>
          <w:szCs w:val="24"/>
        </w:rPr>
        <w:tab/>
      </w:r>
      <w:r>
        <w:rPr>
          <w:rFonts w:hint="eastAsia"/>
          <w:sz w:val="24"/>
          <w:szCs w:val="24"/>
          <w:lang w:val="en-US" w:eastAsia="zh-CN"/>
        </w:rPr>
        <w:t>-</w:t>
      </w:r>
      <w:r>
        <w:rPr>
          <w:sz w:val="24"/>
          <w:szCs w:val="24"/>
        </w:rPr>
        <w:fldChar w:fldCharType="end"/>
      </w:r>
      <w:r>
        <w:rPr>
          <w:rFonts w:hint="eastAsia"/>
          <w:sz w:val="24"/>
          <w:szCs w:val="24"/>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_Toc5434 </w:instrText>
      </w:r>
      <w:r>
        <w:rPr>
          <w:sz w:val="24"/>
          <w:szCs w:val="24"/>
        </w:rPr>
        <w:fldChar w:fldCharType="separate"/>
      </w:r>
      <w:r>
        <w:rPr>
          <w:rFonts w:hint="eastAsia" w:ascii="仿宋" w:hAnsi="仿宋" w:eastAsia="仿宋" w:cstheme="minorEastAsia"/>
          <w:sz w:val="24"/>
          <w:szCs w:val="24"/>
        </w:rPr>
        <w:t>（一）</w:t>
      </w:r>
      <w:r>
        <w:rPr>
          <w:rFonts w:hint="eastAsia" w:ascii="仿宋" w:hAnsi="仿宋" w:eastAsia="仿宋" w:cstheme="minorEastAsia"/>
          <w:sz w:val="24"/>
          <w:szCs w:val="24"/>
          <w:lang w:val="en-US" w:eastAsia="zh-CN"/>
        </w:rPr>
        <w:t>评价目的、对象和范围</w:t>
      </w:r>
      <w:r>
        <w:rPr>
          <w:sz w:val="24"/>
          <w:szCs w:val="24"/>
        </w:rPr>
        <w:tab/>
      </w:r>
      <w:r>
        <w:rPr>
          <w:sz w:val="24"/>
          <w:szCs w:val="24"/>
        </w:rPr>
        <w:fldChar w:fldCharType="end"/>
      </w:r>
      <w:r>
        <w:rPr>
          <w:rFonts w:hint="eastAsia"/>
          <w:sz w:val="24"/>
          <w:szCs w:val="24"/>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sz w:val="24"/>
          <w:szCs w:val="24"/>
          <w:lang w:val="en-US" w:eastAsia="zh-CN"/>
        </w:rPr>
      </w:pPr>
      <w:r>
        <w:rPr>
          <w:rFonts w:hint="eastAsia"/>
          <w:sz w:val="24"/>
          <w:szCs w:val="24"/>
          <w:lang w:val="en-US" w:eastAsia="zh-CN"/>
        </w:rPr>
        <w:fldChar w:fldCharType="begin"/>
      </w:r>
      <w:r>
        <w:rPr>
          <w:rFonts w:hint="eastAsia"/>
          <w:sz w:val="24"/>
          <w:szCs w:val="24"/>
          <w:lang w:val="en-US" w:eastAsia="zh-CN"/>
        </w:rPr>
        <w:instrText xml:space="preserve"> HYPERLINK \l _Toc20424 </w:instrText>
      </w:r>
      <w:r>
        <w:rPr>
          <w:rFonts w:hint="eastAsia"/>
          <w:sz w:val="24"/>
          <w:szCs w:val="24"/>
          <w:lang w:val="en-US" w:eastAsia="zh-CN"/>
        </w:rPr>
        <w:fldChar w:fldCharType="separate"/>
      </w:r>
      <w:r>
        <w:rPr>
          <w:rFonts w:hint="eastAsia"/>
          <w:sz w:val="24"/>
          <w:szCs w:val="24"/>
          <w:lang w:val="en-US" w:eastAsia="zh-CN"/>
        </w:rPr>
        <w:t>（</w:t>
      </w:r>
      <w:r>
        <w:rPr>
          <w:rFonts w:hint="eastAsia" w:ascii="仿宋" w:hAnsi="仿宋" w:eastAsia="仿宋" w:cstheme="minorEastAsia"/>
          <w:sz w:val="24"/>
          <w:szCs w:val="24"/>
          <w:lang w:val="en-US" w:eastAsia="zh-CN"/>
        </w:rPr>
        <w:t>二）绩效评价原则、评价方法、 评价标准 、评价依据</w:t>
      </w:r>
      <w:r>
        <w:rPr>
          <w:rFonts w:hint="eastAsia"/>
          <w:sz w:val="24"/>
          <w:szCs w:val="24"/>
          <w:lang w:val="en-US" w:eastAsia="zh-CN"/>
        </w:rPr>
        <w:tab/>
      </w:r>
      <w:r>
        <w:rPr>
          <w:rFonts w:hint="eastAsia"/>
          <w:sz w:val="24"/>
          <w:szCs w:val="24"/>
          <w:lang w:val="en-US" w:eastAsia="zh-CN"/>
        </w:rPr>
        <w:t>-</w:t>
      </w:r>
      <w:r>
        <w:rPr>
          <w:rFonts w:hint="eastAsia"/>
          <w:sz w:val="24"/>
          <w:szCs w:val="24"/>
          <w:lang w:val="en-US" w:eastAsia="zh-CN"/>
        </w:rPr>
        <w:fldChar w:fldCharType="end"/>
      </w:r>
      <w:r>
        <w:rPr>
          <w:rFonts w:hint="eastAsia"/>
          <w:sz w:val="24"/>
          <w:szCs w:val="24"/>
          <w:lang w:val="en-US" w:eastAsia="zh-CN"/>
        </w:rPr>
        <w:t>7-</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sz w:val="24"/>
          <w:szCs w:val="24"/>
        </w:rPr>
      </w:pPr>
      <w:r>
        <w:rPr>
          <w:sz w:val="24"/>
          <w:szCs w:val="24"/>
        </w:rPr>
        <w:fldChar w:fldCharType="begin"/>
      </w:r>
      <w:r>
        <w:rPr>
          <w:sz w:val="24"/>
          <w:szCs w:val="24"/>
        </w:rPr>
        <w:instrText xml:space="preserve"> HYPERLINK \l _Toc9416 </w:instrText>
      </w:r>
      <w:r>
        <w:rPr>
          <w:sz w:val="24"/>
          <w:szCs w:val="24"/>
        </w:rPr>
        <w:fldChar w:fldCharType="separate"/>
      </w:r>
      <w:r>
        <w:rPr>
          <w:rFonts w:hint="eastAsia" w:ascii="仿宋" w:hAnsi="仿宋" w:eastAsia="仿宋" w:cstheme="minorEastAsia"/>
          <w:sz w:val="24"/>
          <w:szCs w:val="24"/>
        </w:rPr>
        <w:t>（三）</w:t>
      </w:r>
      <w:r>
        <w:rPr>
          <w:rFonts w:hint="eastAsia" w:ascii="仿宋" w:hAnsi="仿宋" w:eastAsia="仿宋" w:cstheme="minorEastAsia"/>
          <w:sz w:val="24"/>
          <w:szCs w:val="24"/>
          <w:lang w:val="en-US" w:eastAsia="zh-CN"/>
        </w:rPr>
        <w:t>评价指标体系、评分标准</w:t>
      </w:r>
      <w:r>
        <w:rPr>
          <w:sz w:val="24"/>
          <w:szCs w:val="24"/>
        </w:rPr>
        <w:tab/>
      </w:r>
      <w:r>
        <w:rPr>
          <w:rFonts w:hint="eastAsia"/>
          <w:sz w:val="24"/>
          <w:szCs w:val="24"/>
          <w:lang w:val="en-US" w:eastAsia="zh-CN"/>
        </w:rPr>
        <w:t xml:space="preserve">  -10-</w:t>
      </w:r>
      <w:r>
        <w:rPr>
          <w:sz w:val="24"/>
          <w:szCs w:val="24"/>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_Toc29691 </w:instrText>
      </w:r>
      <w:r>
        <w:rPr>
          <w:sz w:val="24"/>
          <w:szCs w:val="24"/>
        </w:rPr>
        <w:fldChar w:fldCharType="separate"/>
      </w:r>
      <w:r>
        <w:rPr>
          <w:rFonts w:hint="eastAsia" w:ascii="仿宋" w:hAnsi="仿宋" w:eastAsia="仿宋" w:cstheme="minorEastAsia"/>
          <w:sz w:val="24"/>
          <w:szCs w:val="24"/>
        </w:rPr>
        <w:t xml:space="preserve">（四）绩效评价工作过程 </w:t>
      </w:r>
      <w:r>
        <w:rPr>
          <w:sz w:val="24"/>
          <w:szCs w:val="24"/>
        </w:rPr>
        <w:tab/>
      </w:r>
      <w:r>
        <w:rPr>
          <w:rFonts w:hint="eastAsia"/>
          <w:sz w:val="24"/>
          <w:szCs w:val="24"/>
          <w:lang w:val="en-US" w:eastAsia="zh-CN"/>
        </w:rPr>
        <w:t>-</w:t>
      </w:r>
      <w:r>
        <w:rPr>
          <w:sz w:val="24"/>
          <w:szCs w:val="24"/>
        </w:rPr>
        <w:fldChar w:fldCharType="end"/>
      </w:r>
      <w:r>
        <w:rPr>
          <w:rFonts w:hint="eastAsia"/>
          <w:sz w:val="24"/>
          <w:szCs w:val="24"/>
          <w:lang w:val="en-US" w:eastAsia="zh-CN"/>
        </w:rPr>
        <w:t>17-</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_Toc18230 </w:instrText>
      </w:r>
      <w:r>
        <w:rPr>
          <w:sz w:val="24"/>
          <w:szCs w:val="24"/>
        </w:rPr>
        <w:fldChar w:fldCharType="separate"/>
      </w:r>
      <w:r>
        <w:rPr>
          <w:rFonts w:hint="eastAsia" w:ascii="仿宋" w:hAnsi="仿宋" w:eastAsia="仿宋" w:cstheme="minorEastAsia"/>
          <w:sz w:val="24"/>
          <w:szCs w:val="24"/>
        </w:rPr>
        <w:t>三、</w:t>
      </w:r>
      <w:r>
        <w:rPr>
          <w:sz w:val="24"/>
          <w:szCs w:val="24"/>
        </w:rPr>
        <w:fldChar w:fldCharType="begin"/>
      </w:r>
      <w:r>
        <w:rPr>
          <w:sz w:val="24"/>
          <w:szCs w:val="24"/>
        </w:rPr>
        <w:instrText xml:space="preserve"> HYPERLINK \l _Toc4718 </w:instrText>
      </w:r>
      <w:r>
        <w:rPr>
          <w:sz w:val="24"/>
          <w:szCs w:val="24"/>
        </w:rPr>
        <w:fldChar w:fldCharType="separate"/>
      </w:r>
      <w:r>
        <w:rPr>
          <w:rFonts w:hint="eastAsia" w:ascii="仿宋" w:hAnsi="仿宋" w:eastAsia="仿宋" w:cstheme="minorEastAsia"/>
          <w:kern w:val="2"/>
          <w:sz w:val="24"/>
          <w:szCs w:val="24"/>
          <w:lang w:val="en-US" w:eastAsia="zh-CN" w:bidi="ar-SA"/>
        </w:rPr>
        <w:t>绩效评价指标分析</w:t>
      </w:r>
      <w:r>
        <w:rPr>
          <w:sz w:val="24"/>
          <w:szCs w:val="24"/>
        </w:rPr>
        <w:tab/>
      </w:r>
      <w:r>
        <w:rPr>
          <w:sz w:val="24"/>
          <w:szCs w:val="24"/>
        </w:rPr>
        <w:fldChar w:fldCharType="end"/>
      </w:r>
      <w:r>
        <w:rPr>
          <w:rFonts w:hint="eastAsia"/>
          <w:sz w:val="24"/>
          <w:szCs w:val="24"/>
          <w:lang w:val="en-US" w:eastAsia="zh-CN"/>
        </w:rPr>
        <w:t>-18-</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_Toc25690 </w:instrText>
      </w:r>
      <w:r>
        <w:rPr>
          <w:sz w:val="24"/>
          <w:szCs w:val="24"/>
        </w:rPr>
        <w:fldChar w:fldCharType="separate"/>
      </w:r>
      <w:r>
        <w:rPr>
          <w:rFonts w:hint="eastAsia" w:ascii="仿宋" w:hAnsi="仿宋" w:eastAsia="仿宋" w:cstheme="minorEastAsia"/>
          <w:sz w:val="24"/>
          <w:szCs w:val="24"/>
        </w:rPr>
        <w:t>（一）</w:t>
      </w:r>
      <w:r>
        <w:rPr>
          <w:rFonts w:hint="eastAsia" w:ascii="仿宋" w:hAnsi="仿宋" w:eastAsia="仿宋" w:cstheme="minorEastAsia"/>
          <w:kern w:val="2"/>
          <w:sz w:val="24"/>
          <w:szCs w:val="24"/>
          <w:lang w:val="en-US" w:eastAsia="zh-CN" w:bidi="ar-SA"/>
        </w:rPr>
        <w:t>项目决策情况</w:t>
      </w:r>
      <w:r>
        <w:rPr>
          <w:sz w:val="24"/>
          <w:szCs w:val="24"/>
        </w:rPr>
        <w:tab/>
      </w:r>
      <w:r>
        <w:rPr>
          <w:sz w:val="24"/>
          <w:szCs w:val="24"/>
        </w:rPr>
        <w:fldChar w:fldCharType="end"/>
      </w:r>
      <w:r>
        <w:rPr>
          <w:rFonts w:hint="eastAsia"/>
          <w:sz w:val="24"/>
          <w:szCs w:val="24"/>
          <w:lang w:val="en-US" w:eastAsia="zh-CN"/>
        </w:rPr>
        <w:t>-18-</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_Toc32026 </w:instrText>
      </w:r>
      <w:r>
        <w:rPr>
          <w:sz w:val="24"/>
          <w:szCs w:val="24"/>
        </w:rPr>
        <w:fldChar w:fldCharType="separate"/>
      </w:r>
      <w:r>
        <w:rPr>
          <w:rFonts w:hint="eastAsia" w:eastAsia="仿宋_GB2312"/>
          <w:bCs/>
          <w:sz w:val="24"/>
          <w:szCs w:val="24"/>
        </w:rPr>
        <w:t>（二）</w:t>
      </w:r>
      <w:r>
        <w:rPr>
          <w:rFonts w:hint="eastAsia" w:ascii="仿宋" w:hAnsi="仿宋" w:eastAsia="仿宋" w:cstheme="minorEastAsia"/>
          <w:kern w:val="2"/>
          <w:sz w:val="24"/>
          <w:szCs w:val="24"/>
          <w:lang w:val="en-US" w:eastAsia="zh-CN" w:bidi="ar-SA"/>
        </w:rPr>
        <w:t>项目过程情况</w:t>
      </w:r>
      <w:r>
        <w:rPr>
          <w:sz w:val="24"/>
          <w:szCs w:val="24"/>
        </w:rPr>
        <w:tab/>
      </w:r>
      <w:r>
        <w:rPr>
          <w:sz w:val="24"/>
          <w:szCs w:val="24"/>
        </w:rPr>
        <w:fldChar w:fldCharType="end"/>
      </w:r>
      <w:r>
        <w:rPr>
          <w:rFonts w:hint="eastAsia"/>
          <w:sz w:val="24"/>
          <w:szCs w:val="24"/>
          <w:lang w:val="en-US" w:eastAsia="zh-CN"/>
        </w:rPr>
        <w:t>-19-</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ascii="仿宋" w:hAnsi="仿宋" w:eastAsia="仿宋" w:cstheme="minorEastAsia"/>
          <w:kern w:val="2"/>
          <w:sz w:val="24"/>
          <w:szCs w:val="24"/>
          <w:lang w:val="en-US" w:eastAsia="zh-CN" w:bidi="ar-SA"/>
        </w:rPr>
      </w:pPr>
      <w:r>
        <w:rPr>
          <w:rFonts w:hint="eastAsia" w:ascii="仿宋" w:hAnsi="仿宋" w:eastAsia="仿宋" w:cstheme="minorEastAsia"/>
          <w:kern w:val="2"/>
          <w:sz w:val="24"/>
          <w:szCs w:val="24"/>
          <w:lang w:val="en-US" w:eastAsia="zh-CN" w:bidi="ar-SA"/>
        </w:rPr>
        <w:fldChar w:fldCharType="begin"/>
      </w:r>
      <w:r>
        <w:rPr>
          <w:rFonts w:hint="eastAsia" w:ascii="仿宋" w:hAnsi="仿宋" w:eastAsia="仿宋" w:cstheme="minorEastAsia"/>
          <w:kern w:val="2"/>
          <w:sz w:val="24"/>
          <w:szCs w:val="24"/>
          <w:lang w:val="en-US" w:eastAsia="zh-CN" w:bidi="ar-SA"/>
        </w:rPr>
        <w:instrText xml:space="preserve"> HYPERLINK \l _Toc14655 </w:instrText>
      </w:r>
      <w:r>
        <w:rPr>
          <w:rFonts w:hint="eastAsia" w:ascii="仿宋" w:hAnsi="仿宋" w:eastAsia="仿宋" w:cstheme="minorEastAsia"/>
          <w:kern w:val="2"/>
          <w:sz w:val="24"/>
          <w:szCs w:val="24"/>
          <w:lang w:val="en-US" w:eastAsia="zh-CN" w:bidi="ar-SA"/>
        </w:rPr>
        <w:fldChar w:fldCharType="separate"/>
      </w:r>
      <w:r>
        <w:rPr>
          <w:rFonts w:hint="eastAsia" w:ascii="仿宋" w:hAnsi="仿宋" w:eastAsia="仿宋" w:cstheme="minorEastAsia"/>
          <w:kern w:val="2"/>
          <w:sz w:val="24"/>
          <w:szCs w:val="24"/>
          <w:lang w:val="en-US" w:eastAsia="zh-CN" w:bidi="ar-SA"/>
        </w:rPr>
        <w:t>（三）项目产出情况</w:t>
      </w:r>
      <w:r>
        <w:rPr>
          <w:sz w:val="24"/>
          <w:szCs w:val="24"/>
        </w:rPr>
        <w:tab/>
      </w:r>
      <w:r>
        <w:rPr>
          <w:rFonts w:hint="eastAsia" w:ascii="仿宋" w:hAnsi="仿宋" w:eastAsia="仿宋" w:cstheme="minorEastAsia"/>
          <w:kern w:val="2"/>
          <w:sz w:val="24"/>
          <w:szCs w:val="24"/>
          <w:lang w:val="en-US" w:eastAsia="zh-CN" w:bidi="ar-SA"/>
        </w:rPr>
        <w:fldChar w:fldCharType="end"/>
      </w:r>
      <w:r>
        <w:rPr>
          <w:rFonts w:hint="eastAsia"/>
          <w:sz w:val="24"/>
          <w:szCs w:val="24"/>
          <w:lang w:val="en-US" w:eastAsia="zh-CN"/>
        </w:rPr>
        <w:t>-20-</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lang w:val="en-US" w:eastAsia="zh-CN"/>
        </w:rPr>
      </w:pPr>
      <w:r>
        <w:rPr>
          <w:rFonts w:hint="eastAsia" w:ascii="仿宋" w:hAnsi="仿宋" w:eastAsia="仿宋" w:cstheme="minorEastAsia"/>
          <w:kern w:val="2"/>
          <w:sz w:val="24"/>
          <w:szCs w:val="24"/>
          <w:lang w:val="en-US" w:eastAsia="zh-CN" w:bidi="ar-SA"/>
        </w:rPr>
        <w:fldChar w:fldCharType="begin"/>
      </w:r>
      <w:r>
        <w:rPr>
          <w:rFonts w:hint="eastAsia" w:ascii="仿宋" w:hAnsi="仿宋" w:eastAsia="仿宋" w:cstheme="minorEastAsia"/>
          <w:kern w:val="2"/>
          <w:sz w:val="24"/>
          <w:szCs w:val="24"/>
          <w:lang w:val="en-US" w:eastAsia="zh-CN" w:bidi="ar-SA"/>
        </w:rPr>
        <w:instrText xml:space="preserve"> HYPERLINK \l _Toc14655 </w:instrText>
      </w:r>
      <w:r>
        <w:rPr>
          <w:rFonts w:hint="eastAsia" w:ascii="仿宋" w:hAnsi="仿宋" w:eastAsia="仿宋" w:cstheme="minorEastAsia"/>
          <w:kern w:val="2"/>
          <w:sz w:val="24"/>
          <w:szCs w:val="24"/>
          <w:lang w:val="en-US" w:eastAsia="zh-CN" w:bidi="ar-SA"/>
        </w:rPr>
        <w:fldChar w:fldCharType="separate"/>
      </w:r>
      <w:r>
        <w:rPr>
          <w:rFonts w:hint="eastAsia" w:ascii="仿宋" w:hAnsi="仿宋" w:eastAsia="仿宋" w:cstheme="minorEastAsia"/>
          <w:kern w:val="2"/>
          <w:sz w:val="24"/>
          <w:szCs w:val="24"/>
          <w:lang w:val="en-US" w:eastAsia="zh-CN" w:bidi="ar-SA"/>
        </w:rPr>
        <w:t>（四）项目效益情况</w:t>
      </w:r>
      <w:r>
        <w:rPr>
          <w:sz w:val="24"/>
          <w:szCs w:val="24"/>
        </w:rPr>
        <w:tab/>
      </w:r>
      <w:r>
        <w:rPr>
          <w:rFonts w:hint="eastAsia" w:ascii="仿宋" w:hAnsi="仿宋" w:eastAsia="仿宋" w:cstheme="minorEastAsia"/>
          <w:kern w:val="2"/>
          <w:sz w:val="24"/>
          <w:szCs w:val="24"/>
          <w:lang w:val="en-US" w:eastAsia="zh-CN" w:bidi="ar-SA"/>
        </w:rPr>
        <w:fldChar w:fldCharType="end"/>
      </w:r>
      <w:r>
        <w:rPr>
          <w:rFonts w:hint="eastAsia"/>
          <w:sz w:val="24"/>
          <w:szCs w:val="24"/>
          <w:lang w:val="en-US" w:eastAsia="zh-CN"/>
        </w:rPr>
        <w:t>-21-</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textAlignment w:val="auto"/>
        <w:rPr>
          <w:rFonts w:hint="default" w:eastAsiaTheme="minorEastAsia"/>
          <w:sz w:val="24"/>
          <w:szCs w:val="24"/>
          <w:lang w:val="en-US" w:eastAsia="zh-CN"/>
        </w:rPr>
      </w:pPr>
      <w:r>
        <w:rPr>
          <w:rFonts w:hint="eastAsia" w:ascii="仿宋" w:hAnsi="仿宋" w:eastAsia="仿宋" w:cstheme="minorEastAsia"/>
          <w:kern w:val="2"/>
          <w:sz w:val="24"/>
          <w:szCs w:val="24"/>
          <w:lang w:val="en-US" w:eastAsia="zh-CN" w:bidi="ar-SA"/>
        </w:rPr>
        <w:t>四、综合评价情况及评价结论</w:t>
      </w:r>
      <w:r>
        <w:rPr>
          <w:sz w:val="24"/>
          <w:szCs w:val="24"/>
        </w:rPr>
        <w:tab/>
      </w:r>
      <w:r>
        <w:rPr>
          <w:rFonts w:hint="eastAsia"/>
          <w:sz w:val="24"/>
          <w:szCs w:val="24"/>
          <w:lang w:val="en-US" w:eastAsia="zh-CN"/>
        </w:rPr>
        <w:t>-</w:t>
      </w:r>
      <w:r>
        <w:rPr>
          <w:sz w:val="24"/>
          <w:szCs w:val="24"/>
        </w:rPr>
        <w:fldChar w:fldCharType="end"/>
      </w:r>
      <w:r>
        <w:rPr>
          <w:rFonts w:hint="eastAsia"/>
          <w:sz w:val="24"/>
          <w:szCs w:val="24"/>
          <w:lang w:val="en-US" w:eastAsia="zh-CN"/>
        </w:rPr>
        <w:t>21-</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fldChar w:fldCharType="begin"/>
      </w:r>
      <w:r>
        <w:rPr>
          <w:rFonts w:hint="eastAsia" w:asciiTheme="minorHAnsi" w:hAnsiTheme="minorHAnsi" w:eastAsiaTheme="minorEastAsia" w:cstheme="minorBidi"/>
          <w:kern w:val="2"/>
          <w:sz w:val="24"/>
          <w:szCs w:val="24"/>
          <w:lang w:val="en-US" w:eastAsia="zh-CN" w:bidi="ar-SA"/>
        </w:rPr>
        <w:instrText xml:space="preserve"> HYPERLINK \l _Toc7121 </w:instrText>
      </w:r>
      <w:r>
        <w:rPr>
          <w:rFonts w:hint="eastAsia" w:asciiTheme="minorHAnsi" w:hAnsiTheme="minorHAnsi" w:eastAsiaTheme="minorEastAsia" w:cstheme="minorBidi"/>
          <w:kern w:val="2"/>
          <w:sz w:val="24"/>
          <w:szCs w:val="24"/>
          <w:lang w:val="en-US" w:eastAsia="zh-CN" w:bidi="ar-SA"/>
        </w:rPr>
        <w:fldChar w:fldCharType="separate"/>
      </w:r>
      <w:r>
        <w:rPr>
          <w:rFonts w:hint="eastAsia" w:ascii="仿宋" w:hAnsi="仿宋" w:eastAsia="仿宋" w:cstheme="minorEastAsia"/>
          <w:kern w:val="2"/>
          <w:sz w:val="24"/>
          <w:szCs w:val="24"/>
          <w:lang w:val="en-US" w:eastAsia="zh-CN" w:bidi="ar-SA"/>
        </w:rPr>
        <w:t>五、存在的问题及原因分析</w:t>
      </w:r>
      <w:r>
        <w:rPr>
          <w:rFonts w:hint="eastAsia" w:asciiTheme="minorHAnsi" w:hAnsiTheme="minorHAnsi" w:eastAsiaTheme="minorEastAsia" w:cstheme="minorBidi"/>
          <w:kern w:val="2"/>
          <w:sz w:val="24"/>
          <w:szCs w:val="24"/>
          <w:lang w:val="en-US" w:eastAsia="zh-CN" w:bidi="ar-SA"/>
        </w:rPr>
        <w:tab/>
      </w:r>
      <w:r>
        <w:rPr>
          <w:rFonts w:hint="eastAsia" w:asciiTheme="minorHAnsi" w:hAnsiTheme="minorHAnsi" w:eastAsiaTheme="minorEastAsia" w:cstheme="minorBidi"/>
          <w:kern w:val="2"/>
          <w:sz w:val="24"/>
          <w:szCs w:val="24"/>
          <w:lang w:val="en-US" w:eastAsia="zh-CN" w:bidi="ar-SA"/>
        </w:rPr>
        <w:t>-</w:t>
      </w:r>
      <w:r>
        <w:rPr>
          <w:rFonts w:hint="eastAsia" w:asciiTheme="minorHAnsi" w:hAnsiTheme="minorHAnsi" w:eastAsiaTheme="minorEastAsia" w:cstheme="minorBidi"/>
          <w:kern w:val="2"/>
          <w:sz w:val="24"/>
          <w:szCs w:val="24"/>
          <w:lang w:val="en-US" w:eastAsia="zh-CN" w:bidi="ar-SA"/>
        </w:rPr>
        <w:fldChar w:fldCharType="end"/>
      </w:r>
      <w:r>
        <w:rPr>
          <w:rFonts w:hint="eastAsia" w:cstheme="minorBidi"/>
          <w:kern w:val="2"/>
          <w:sz w:val="24"/>
          <w:szCs w:val="24"/>
          <w:lang w:val="en-US" w:eastAsia="zh-CN" w:bidi="ar-SA"/>
        </w:rPr>
        <w:t>22</w:t>
      </w:r>
      <w:r>
        <w:rPr>
          <w:rFonts w:hint="eastAsia" w:asciiTheme="minorHAnsi" w:hAnsiTheme="minorHAnsi" w:eastAsiaTheme="minorEastAsia" w:cstheme="minorBidi"/>
          <w:kern w:val="2"/>
          <w:sz w:val="24"/>
          <w:szCs w:val="24"/>
          <w:lang w:val="en-US" w:eastAsia="zh-CN" w:bidi="ar-SA"/>
        </w:rPr>
        <w:t>-</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_Toc32026 </w:instrText>
      </w:r>
      <w:r>
        <w:rPr>
          <w:sz w:val="24"/>
          <w:szCs w:val="24"/>
        </w:rPr>
        <w:fldChar w:fldCharType="separate"/>
      </w:r>
      <w:r>
        <w:rPr>
          <w:rFonts w:hint="eastAsia" w:eastAsia="仿宋_GB2312"/>
          <w:bCs/>
          <w:sz w:val="24"/>
          <w:szCs w:val="24"/>
        </w:rPr>
        <w:t>（</w:t>
      </w:r>
      <w:r>
        <w:rPr>
          <w:rFonts w:hint="eastAsia" w:eastAsia="仿宋_GB2312"/>
          <w:bCs/>
          <w:sz w:val="24"/>
          <w:szCs w:val="24"/>
          <w:lang w:val="en-US" w:eastAsia="zh-CN"/>
        </w:rPr>
        <w:t>一</w:t>
      </w:r>
      <w:r>
        <w:rPr>
          <w:rFonts w:hint="eastAsia" w:eastAsia="仿宋_GB2312"/>
          <w:bCs/>
          <w:sz w:val="24"/>
          <w:szCs w:val="24"/>
        </w:rPr>
        <w:t>）</w:t>
      </w:r>
      <w:r>
        <w:rPr>
          <w:rFonts w:hint="eastAsia" w:ascii="仿宋" w:hAnsi="仿宋" w:eastAsia="仿宋" w:cstheme="minorEastAsia"/>
          <w:kern w:val="2"/>
          <w:sz w:val="24"/>
          <w:szCs w:val="24"/>
          <w:lang w:val="en-US" w:eastAsia="zh-CN" w:bidi="ar-SA"/>
        </w:rPr>
        <w:t>存在的问题</w:t>
      </w:r>
      <w:r>
        <w:rPr>
          <w:sz w:val="24"/>
          <w:szCs w:val="24"/>
        </w:rPr>
        <w:tab/>
      </w:r>
      <w:r>
        <w:rPr>
          <w:sz w:val="24"/>
          <w:szCs w:val="24"/>
        </w:rPr>
        <w:fldChar w:fldCharType="end"/>
      </w:r>
      <w:r>
        <w:rPr>
          <w:rFonts w:hint="eastAsia"/>
          <w:sz w:val="24"/>
          <w:szCs w:val="24"/>
          <w:lang w:val="en-US" w:eastAsia="zh-CN"/>
        </w:rPr>
        <w:t>-22-</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firstLine="480" w:firstLineChars="200"/>
        <w:textAlignment w:val="auto"/>
        <w:rPr>
          <w:rFonts w:hint="default"/>
          <w:sz w:val="24"/>
          <w:szCs w:val="24"/>
          <w:lang w:val="en-US" w:eastAsia="zh-CN"/>
        </w:rPr>
      </w:pPr>
      <w:r>
        <w:rPr>
          <w:rFonts w:hint="eastAsia"/>
          <w:sz w:val="24"/>
          <w:szCs w:val="24"/>
          <w:lang w:val="en-US" w:eastAsia="zh-CN"/>
        </w:rPr>
        <w:fldChar w:fldCharType="begin"/>
      </w:r>
      <w:r>
        <w:rPr>
          <w:rFonts w:hint="eastAsia"/>
          <w:sz w:val="24"/>
          <w:szCs w:val="24"/>
          <w:lang w:val="en-US" w:eastAsia="zh-CN"/>
        </w:rPr>
        <w:instrText xml:space="preserve"> HYPERLINK \l _Toc14655 </w:instrText>
      </w:r>
      <w:r>
        <w:rPr>
          <w:rFonts w:hint="eastAsia"/>
          <w:sz w:val="24"/>
          <w:szCs w:val="24"/>
          <w:lang w:val="en-US" w:eastAsia="zh-CN"/>
        </w:rPr>
        <w:fldChar w:fldCharType="separate"/>
      </w:r>
      <w:r>
        <w:rPr>
          <w:rFonts w:hint="eastAsia" w:ascii="仿宋" w:hAnsi="仿宋" w:eastAsia="仿宋" w:cstheme="minorEastAsia"/>
          <w:kern w:val="2"/>
          <w:sz w:val="24"/>
          <w:szCs w:val="24"/>
          <w:lang w:val="en-US" w:eastAsia="zh-CN" w:bidi="ar-SA"/>
        </w:rPr>
        <w:t>（二）原因分析</w:t>
      </w:r>
      <w:r>
        <w:rPr>
          <w:rFonts w:hint="eastAsia"/>
          <w:sz w:val="24"/>
          <w:szCs w:val="24"/>
          <w:lang w:val="en-US" w:eastAsia="zh-CN"/>
        </w:rPr>
        <w:tab/>
      </w:r>
      <w:r>
        <w:rPr>
          <w:rFonts w:hint="eastAsia"/>
          <w:sz w:val="24"/>
          <w:szCs w:val="24"/>
          <w:lang w:val="en-US" w:eastAsia="zh-CN"/>
        </w:rPr>
        <w:fldChar w:fldCharType="end"/>
      </w:r>
      <w:r>
        <w:rPr>
          <w:rFonts w:hint="eastAsia"/>
          <w:sz w:val="24"/>
          <w:szCs w:val="24"/>
          <w:lang w:val="en-US" w:eastAsia="zh-CN"/>
        </w:rPr>
        <w:t>-24-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textAlignment w:val="auto"/>
        <w:rPr>
          <w:rFonts w:hint="default" w:eastAsiaTheme="minorEastAsia"/>
          <w:sz w:val="24"/>
          <w:szCs w:val="24"/>
          <w:lang w:val="en-US" w:eastAsia="zh-CN"/>
        </w:rPr>
      </w:pPr>
      <w:r>
        <w:rPr>
          <w:sz w:val="24"/>
          <w:szCs w:val="24"/>
        </w:rPr>
        <w:fldChar w:fldCharType="begin"/>
      </w:r>
      <w:r>
        <w:rPr>
          <w:sz w:val="24"/>
          <w:szCs w:val="24"/>
        </w:rPr>
        <w:instrText xml:space="preserve"> HYPERLINK \l _Toc28807 </w:instrText>
      </w:r>
      <w:r>
        <w:rPr>
          <w:sz w:val="24"/>
          <w:szCs w:val="24"/>
        </w:rPr>
        <w:fldChar w:fldCharType="separate"/>
      </w:r>
      <w:r>
        <w:rPr>
          <w:rFonts w:hint="eastAsia" w:ascii="仿宋" w:hAnsi="仿宋" w:eastAsia="仿宋" w:cstheme="minorEastAsia"/>
          <w:sz w:val="24"/>
          <w:szCs w:val="24"/>
        </w:rPr>
        <w:t>六、</w:t>
      </w:r>
      <w:r>
        <w:rPr>
          <w:rFonts w:hint="eastAsia" w:ascii="仿宋" w:hAnsi="仿宋" w:eastAsia="仿宋" w:cstheme="minorEastAsia"/>
          <w:kern w:val="2"/>
          <w:sz w:val="24"/>
          <w:szCs w:val="24"/>
          <w:lang w:val="en-US" w:eastAsia="zh-CN" w:bidi="ar-SA"/>
        </w:rPr>
        <w:t>有关建议</w:t>
      </w:r>
      <w:r>
        <w:rPr>
          <w:sz w:val="24"/>
          <w:szCs w:val="24"/>
        </w:rPr>
        <w:tab/>
      </w:r>
      <w:r>
        <w:rPr>
          <w:rFonts w:hint="eastAsia"/>
          <w:sz w:val="24"/>
          <w:szCs w:val="24"/>
          <w:lang w:val="en-US" w:eastAsia="zh-CN"/>
        </w:rPr>
        <w:t>-</w:t>
      </w:r>
      <w:r>
        <w:rPr>
          <w:sz w:val="24"/>
          <w:szCs w:val="24"/>
        </w:rPr>
        <w:fldChar w:fldCharType="end"/>
      </w:r>
      <w:r>
        <w:rPr>
          <w:rFonts w:hint="eastAsia"/>
          <w:sz w:val="24"/>
          <w:szCs w:val="24"/>
          <w:lang w:val="en-US" w:eastAsia="zh-CN"/>
        </w:rPr>
        <w:t>24-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pPr>
    </w:p>
    <w:p>
      <w:pPr>
        <w:pStyle w:val="2"/>
        <w:ind w:firstLine="420" w:firstLineChars="200"/>
        <w:sectPr>
          <w:footerReference r:id="rId3" w:type="default"/>
          <w:pgSz w:w="11906" w:h="16838"/>
          <w:pgMar w:top="1440" w:right="1066" w:bottom="1440" w:left="1800" w:header="851" w:footer="992" w:gutter="0"/>
          <w:pgNumType w:fmt="decimal" w:start="1"/>
          <w:cols w:space="425" w:num="1"/>
          <w:docGrid w:type="lines" w:linePitch="312" w:charSpace="0"/>
        </w:sectPr>
      </w:pPr>
    </w:p>
    <w:p>
      <w:pPr>
        <w:pStyle w:val="2"/>
        <w:ind w:firstLine="420" w:firstLineChars="200"/>
      </w:pPr>
      <w:r>
        <w:fldChar w:fldCharType="end"/>
      </w:r>
    </w:p>
    <w:p>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武陟县民政局</w:t>
      </w:r>
    </w:p>
    <w:p>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2022年城乡困难群众临时救助项目支出</w:t>
      </w:r>
    </w:p>
    <w:p>
      <w:pPr>
        <w:jc w:val="center"/>
        <w:rPr>
          <w:rFonts w:hint="eastAsia" w:ascii="黑体" w:hAnsi="黑体" w:eastAsia="黑体" w:cs="黑体"/>
          <w:b/>
          <w:bCs/>
          <w:sz w:val="44"/>
          <w:szCs w:val="52"/>
          <w:lang w:val="en-US" w:eastAsia="zh-CN"/>
        </w:rPr>
      </w:pPr>
      <w:r>
        <w:rPr>
          <w:rFonts w:hint="eastAsia" w:ascii="黑体" w:hAnsi="黑体" w:eastAsia="黑体" w:cs="黑体"/>
          <w:b/>
          <w:bCs/>
          <w:sz w:val="44"/>
          <w:szCs w:val="52"/>
          <w:lang w:val="en-US" w:eastAsia="zh-CN"/>
        </w:rPr>
        <w:t>绩效评价报告</w:t>
      </w:r>
    </w:p>
    <w:p>
      <w:pPr>
        <w:spacing w:line="480" w:lineRule="auto"/>
        <w:ind w:firstLine="2880" w:firstLineChars="1200"/>
        <w:jc w:val="right"/>
        <w:rPr>
          <w:rFonts w:hint="eastAsia" w:ascii="仿宋" w:hAnsi="仿宋" w:eastAsia="仿宋" w:cs="Tahoma"/>
          <w:sz w:val="24"/>
          <w:szCs w:val="24"/>
          <w:lang w:val="en-US" w:eastAsia="zh-CN"/>
        </w:rPr>
      </w:pPr>
      <w:r>
        <w:rPr>
          <w:rFonts w:hint="eastAsia" w:ascii="仿宋" w:hAnsi="仿宋" w:eastAsia="仿宋" w:cs="Tahoma"/>
          <w:sz w:val="24"/>
          <w:szCs w:val="24"/>
          <w:lang w:val="en-US" w:eastAsia="zh-CN"/>
        </w:rPr>
        <w:t>豫德之诚绩效评价（2023）第003号</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 w:hAnsi="仿宋" w:eastAsia="仿宋" w:cs="仿宋"/>
          <w:kern w:val="2"/>
          <w:sz w:val="28"/>
          <w:szCs w:val="28"/>
          <w:highlight w:val="none"/>
          <w:lang w:val="en-US" w:eastAsia="zh-CN" w:bidi="ar-SA"/>
        </w:rPr>
      </w:pPr>
      <w:r>
        <w:rPr>
          <w:rFonts w:ascii="仿宋_GB2312" w:hAnsi="仿宋_GB2312" w:eastAsia="仿宋_GB2312" w:cs="仿宋_GB2312"/>
          <w:color w:val="000000"/>
          <w:kern w:val="0"/>
          <w:sz w:val="30"/>
          <w:szCs w:val="30"/>
          <w:lang w:val="en-US" w:eastAsia="zh-CN" w:bidi="ar"/>
        </w:rPr>
        <w:t xml:space="preserve"> </w:t>
      </w:r>
      <w:r>
        <w:rPr>
          <w:rFonts w:hint="eastAsia" w:ascii="仿宋" w:hAnsi="仿宋" w:eastAsia="仿宋" w:cs="仿宋"/>
          <w:b/>
          <w:bCs/>
          <w:color w:val="000000"/>
          <w:kern w:val="0"/>
          <w:sz w:val="28"/>
          <w:szCs w:val="28"/>
          <w:lang w:val="en-US" w:eastAsia="zh-CN" w:bidi="ar"/>
        </w:rPr>
        <w:t xml:space="preserve">   </w:t>
      </w:r>
      <w:r>
        <w:rPr>
          <w:rFonts w:hint="default" w:ascii="仿宋" w:hAnsi="仿宋" w:eastAsia="仿宋" w:cs="仿宋"/>
          <w:kern w:val="2"/>
          <w:sz w:val="28"/>
          <w:szCs w:val="28"/>
          <w:highlight w:val="none"/>
          <w:lang w:val="en-US" w:eastAsia="zh-CN" w:bidi="ar-SA"/>
        </w:rPr>
        <w:t>按照《中共</w:t>
      </w:r>
      <w:r>
        <w:rPr>
          <w:rFonts w:hint="eastAsia" w:ascii="仿宋" w:hAnsi="仿宋" w:eastAsia="仿宋" w:cs="仿宋"/>
          <w:kern w:val="2"/>
          <w:sz w:val="28"/>
          <w:szCs w:val="28"/>
          <w:highlight w:val="none"/>
          <w:lang w:val="en-US" w:eastAsia="zh-CN" w:bidi="ar-SA"/>
        </w:rPr>
        <w:t>武陟县</w:t>
      </w:r>
      <w:r>
        <w:rPr>
          <w:rFonts w:hint="default" w:ascii="仿宋" w:hAnsi="仿宋" w:eastAsia="仿宋" w:cs="仿宋"/>
          <w:kern w:val="2"/>
          <w:sz w:val="28"/>
          <w:szCs w:val="28"/>
          <w:highlight w:val="none"/>
          <w:lang w:val="en-US" w:eastAsia="zh-CN" w:bidi="ar-SA"/>
        </w:rPr>
        <w:t xml:space="preserve">委 </w:t>
      </w:r>
      <w:r>
        <w:rPr>
          <w:rFonts w:hint="eastAsia" w:ascii="仿宋" w:hAnsi="仿宋" w:eastAsia="仿宋" w:cs="仿宋"/>
          <w:kern w:val="2"/>
          <w:sz w:val="28"/>
          <w:szCs w:val="28"/>
          <w:highlight w:val="none"/>
          <w:lang w:val="en-US" w:eastAsia="zh-CN" w:bidi="ar-SA"/>
        </w:rPr>
        <w:t>武陟县</w:t>
      </w:r>
      <w:r>
        <w:rPr>
          <w:rFonts w:hint="default" w:ascii="仿宋" w:hAnsi="仿宋" w:eastAsia="仿宋" w:cs="仿宋"/>
          <w:kern w:val="2"/>
          <w:sz w:val="28"/>
          <w:szCs w:val="28"/>
          <w:highlight w:val="none"/>
          <w:lang w:val="en-US" w:eastAsia="zh-CN" w:bidi="ar-SA"/>
        </w:rPr>
        <w:t>人民政府关于全面实施预算绩效管理的实施意见&gt;》（</w:t>
      </w:r>
      <w:r>
        <w:rPr>
          <w:rFonts w:hint="eastAsia" w:ascii="仿宋" w:hAnsi="仿宋" w:eastAsia="仿宋" w:cs="仿宋"/>
          <w:kern w:val="2"/>
          <w:sz w:val="28"/>
          <w:szCs w:val="28"/>
          <w:highlight w:val="none"/>
          <w:lang w:val="en-US" w:eastAsia="zh-CN" w:bidi="ar-SA"/>
        </w:rPr>
        <w:t>武</w:t>
      </w:r>
      <w:r>
        <w:rPr>
          <w:rFonts w:hint="default" w:ascii="仿宋" w:hAnsi="仿宋" w:eastAsia="仿宋" w:cs="仿宋"/>
          <w:kern w:val="2"/>
          <w:sz w:val="28"/>
          <w:szCs w:val="28"/>
          <w:highlight w:val="none"/>
          <w:lang w:val="en-US" w:eastAsia="zh-CN" w:bidi="ar-SA"/>
        </w:rPr>
        <w:t>发〔2020〕13号）有关要求，健全绩效评价常态化机制，强化部门预算绩效管理主体责任，提高财政资金使用效益，受</w:t>
      </w:r>
      <w:r>
        <w:rPr>
          <w:rFonts w:hint="eastAsia" w:ascii="仿宋" w:hAnsi="仿宋" w:eastAsia="仿宋" w:cs="仿宋"/>
          <w:kern w:val="2"/>
          <w:sz w:val="28"/>
          <w:szCs w:val="28"/>
          <w:highlight w:val="none"/>
          <w:lang w:val="en-US" w:eastAsia="zh-CN" w:bidi="ar-SA"/>
        </w:rPr>
        <w:t>武陟县</w:t>
      </w:r>
      <w:r>
        <w:rPr>
          <w:rFonts w:hint="default" w:ascii="仿宋" w:hAnsi="仿宋" w:eastAsia="仿宋" w:cs="仿宋"/>
          <w:kern w:val="2"/>
          <w:sz w:val="28"/>
          <w:szCs w:val="28"/>
          <w:highlight w:val="none"/>
          <w:lang w:val="en-US" w:eastAsia="zh-CN" w:bidi="ar-SA"/>
        </w:rPr>
        <w:t>财政局的委托，对武陟县民政局城乡困难群众临时救助项目进行重点绩效评价。在评价过程中，我们查阅了项目相关资料，采取了文件检查、访谈等我们认为必要的评价工作方法，对</w:t>
      </w:r>
      <w:r>
        <w:rPr>
          <w:rFonts w:hint="eastAsia" w:ascii="仿宋" w:hAnsi="仿宋" w:eastAsia="仿宋" w:cs="仿宋"/>
          <w:kern w:val="2"/>
          <w:sz w:val="28"/>
          <w:szCs w:val="28"/>
          <w:highlight w:val="none"/>
          <w:lang w:val="en-US" w:eastAsia="zh-CN" w:bidi="ar-SA"/>
        </w:rPr>
        <w:t>城乡困难群众临时救助项目</w:t>
      </w:r>
      <w:r>
        <w:rPr>
          <w:rFonts w:hint="default" w:ascii="仿宋" w:hAnsi="仿宋" w:eastAsia="仿宋" w:cs="仿宋"/>
          <w:kern w:val="2"/>
          <w:sz w:val="28"/>
          <w:szCs w:val="28"/>
          <w:highlight w:val="none"/>
          <w:lang w:val="en-US" w:eastAsia="zh-CN" w:bidi="ar-SA"/>
        </w:rPr>
        <w:t>实施情况，按照科学规范、公开公正的原则，形成本评价报告。</w:t>
      </w:r>
    </w:p>
    <w:p>
      <w:pPr>
        <w:keepNext w:val="0"/>
        <w:keepLines w:val="0"/>
        <w:widowControl/>
        <w:suppressLineNumbers w:val="0"/>
        <w:spacing w:line="360" w:lineRule="auto"/>
        <w:ind w:firstLine="562" w:firstLineChars="200"/>
        <w:jc w:val="left"/>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 xml:space="preserve">一、基本情况 </w:t>
      </w:r>
    </w:p>
    <w:p>
      <w:pPr>
        <w:keepNext w:val="0"/>
        <w:keepLines w:val="0"/>
        <w:pageBreakBefore w:val="0"/>
        <w:widowControl/>
        <w:suppressLineNumbers w:val="0"/>
        <w:kinsoku/>
        <w:wordWrap/>
        <w:overflowPunct/>
        <w:topLinePunct w:val="0"/>
        <w:autoSpaceDE/>
        <w:autoSpaceDN/>
        <w:bidi w:val="0"/>
        <w:spacing w:line="360" w:lineRule="auto"/>
        <w:ind w:firstLine="281" w:firstLineChars="1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（一）项目概况</w:t>
      </w:r>
    </w:p>
    <w:p>
      <w:pPr>
        <w:keepNext w:val="0"/>
        <w:keepLines w:val="0"/>
        <w:pageBreakBefore w:val="0"/>
        <w:widowControl/>
        <w:suppressLineNumbers w:val="0"/>
        <w:kinsoku/>
        <w:wordWrap/>
        <w:overflowPunct/>
        <w:topLinePunct w:val="0"/>
        <w:autoSpaceDE/>
        <w:autoSpaceDN/>
        <w:bidi w:val="0"/>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1、项目背景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根据民政部《关于进一步建立健全临时救助制度的通知》（民发〔2007〕92号）和河南省民政厅、河南省财政厅《关于建立健全城乡困难群众临时救助制度的通知》（豫民文〔2011〕152号）精神，市民政局、市财政局结合我市实际，联合建立了焦作市城乡困难群众临时救助制度（焦民〔2011〕245号）。该制度的建立和实施在保障城乡困难群众基本生活、缓解他们的特殊困难方面发挥了积极作用。为深入贯彻落实党的群众路线教育实践活动精神，妥善解决城乡困难群众的突发性、临时性生活困难，加快推进社会救助体系建设，2014年焦作市人民政府办公室又下发《焦作市人民政府办公室关于进一步完善焦作市城乡困难群众临时救助制度的通知》（焦政办（2014）16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临时救助制度是指政府对在日常生活中由于各种特殊原因造成基本生活出现暂时困难的家庭，给予非定期、非定量的生活救助的制度。临时救助制度是一项长期的、规范的社会救助制度，是构建以最低生活保障为基础、专项救助为辅助、临时生活救助为补充的社会救助体系的一项重要工作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      临时救助可分为支出型临时救助和应急型临时救助。支出型临时救助是对因医疗、教育等必需支出较大，造成基本生活困难的家庭实施的救助。应急型临时救助是对家庭成员遭遇交通事故、溺水、矿难等人身意外伤害，在获得各种赔偿、保险、救助等资金后个人负担仍较重，导致家庭基本生活困难，或因火灾等意外事件造成家庭财产重大损失，导致基本生活困难的家庭实施的救助。</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      各级各有关部门要按照“救急救难、及时有效、方便快捷”的工作要求，准确把握临时救助的非定期、非定量特征，根据困难对象的特殊现状和维持当前基本生活的需求，结合本地实际深入开展临时救助工作，要加强各项救助制度的衔接配套，注意发挥社会救助的综合效应，形成临时救助与慈善事业及其他社会救助措施各有侧重、相互衔接、良性互动的运行机制，有效保障困难群众的基本生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深入开展临时救助工作是践行执政为民理念、履行政府兜底责任的具体体现，是各级人民政府重要的民生工程。各级各部门要按照“政府指导、民政主管、部门协作、社会参与”的工作思路，切实加强对临时救助工作的组织领导，进一步明确职责分工，</w:t>
      </w:r>
      <w:r>
        <w:rPr>
          <w:rFonts w:hint="eastAsia" w:ascii="仿宋" w:hAnsi="仿宋" w:eastAsia="仿宋" w:cs="仿宋"/>
          <w:b w:val="0"/>
          <w:bCs w:val="0"/>
          <w:kern w:val="2"/>
          <w:sz w:val="28"/>
          <w:szCs w:val="36"/>
          <w:highlight w:val="none"/>
          <w:lang w:val="en-US" w:eastAsia="zh-CN" w:bidi="ar-SA"/>
        </w:rPr>
        <w:t>制订具体实施细则和操作规程，</w:t>
      </w:r>
      <w:r>
        <w:rPr>
          <w:rFonts w:hint="eastAsia" w:ascii="仿宋" w:hAnsi="仿宋" w:eastAsia="仿宋" w:cs="仿宋"/>
          <w:kern w:val="2"/>
          <w:sz w:val="28"/>
          <w:szCs w:val="36"/>
          <w:highlight w:val="none"/>
          <w:lang w:val="en-US" w:eastAsia="zh-CN" w:bidi="ar-SA"/>
        </w:rPr>
        <w:t>密切协同配合，确保临时救助政策落到实处。民政部门负责牵头实施临时救助工作，要坚持公开、公平、公正的原则，做到政策公开、程序公开、对象公开、资金公开；要建立完善临时救助对象审批材料、资金台帐、发放名册等工作档案，定期向社会公布临时救助资金使用情况，</w:t>
      </w:r>
      <w:r>
        <w:rPr>
          <w:rFonts w:hint="eastAsia" w:ascii="仿宋" w:hAnsi="仿宋" w:eastAsia="仿宋" w:cs="仿宋"/>
          <w:kern w:val="2"/>
          <w:sz w:val="28"/>
          <w:szCs w:val="36"/>
          <w:lang w:val="en-US" w:eastAsia="zh-CN" w:bidi="ar-SA"/>
        </w:rPr>
        <w:t>并设立监督举报电话，接受广大人民群众和社会各界的监督。财政部门负责临时救助资金的预算安排，根据审批确定的用款计划，及时将临时救助资金拨付到位。</w:t>
      </w:r>
    </w:p>
    <w:p>
      <w:pPr>
        <w:keepNext w:val="0"/>
        <w:keepLines w:val="0"/>
        <w:pageBreakBefore w:val="0"/>
        <w:widowControl/>
        <w:suppressLineNumbers w:val="0"/>
        <w:kinsoku/>
        <w:wordWrap/>
        <w:overflowPunct/>
        <w:topLinePunct w:val="0"/>
        <w:autoSpaceDE/>
        <w:autoSpaceDN/>
        <w:bidi w:val="0"/>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2、主要内容及实施情况</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562"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b/>
          <w:bCs/>
          <w:sz w:val="28"/>
          <w:szCs w:val="36"/>
          <w:lang w:val="en-US" w:eastAsia="zh-CN"/>
        </w:rPr>
        <w:t>主要内容：</w:t>
      </w:r>
      <w:r>
        <w:rPr>
          <w:rFonts w:hint="eastAsia" w:ascii="仿宋" w:hAnsi="仿宋" w:eastAsia="仿宋" w:cs="仿宋"/>
          <w:kern w:val="2"/>
          <w:sz w:val="28"/>
          <w:szCs w:val="36"/>
          <w:lang w:val="en-US" w:eastAsia="zh-CN" w:bidi="ar-SA"/>
        </w:rPr>
        <w:t>《焦作市人民政府办公室关于进一步完善焦作市城乡困难群众临时救助制度的通知》（焦政办（2014）16号）规定：</w:t>
      </w:r>
      <w:r>
        <w:rPr>
          <w:rFonts w:hint="eastAsia" w:ascii="微软雅黑" w:hAnsi="微软雅黑" w:eastAsia="微软雅黑" w:cs="微软雅黑"/>
          <w:i w:val="0"/>
          <w:iCs w:val="0"/>
          <w:caps w:val="0"/>
          <w:color w:val="333333"/>
          <w:spacing w:val="0"/>
          <w:sz w:val="24"/>
          <w:szCs w:val="24"/>
          <w:shd w:val="clear" w:fill="FFFFFF"/>
        </w:rPr>
        <w:t> </w:t>
      </w:r>
      <w:r>
        <w:rPr>
          <w:rFonts w:hint="eastAsia" w:ascii="仿宋" w:hAnsi="仿宋" w:eastAsia="仿宋" w:cs="仿宋"/>
          <w:kern w:val="2"/>
          <w:sz w:val="28"/>
          <w:szCs w:val="36"/>
          <w:lang w:val="en-US" w:eastAsia="zh-CN" w:bidi="ar-SA"/>
        </w:rPr>
        <w:t>从2014年起，市财政按照每年不低于500万元，县级财政按照本辖区人口数每人每年1.5元标准安排临时救助资金，并列入本级财政预算。市级临时救助资金根据各县（市）区、市城乡一体化示范区临时救助人数、贫困程度以及资金配套情况进行补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right="0" w:firstLine="560" w:firstLineChars="200"/>
        <w:jc w:val="both"/>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市县两级临时救助资金纳入社会保障基金财政专户，分账核算、专项管理、专款专用。临时救助资金原则上年度不做结余，不得平衡预算或挪作他用。市县两级临时救助资金预算应根据经济社会发展水平适时调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right="0" w:firstLine="560" w:firstLineChars="200"/>
        <w:jc w:val="both"/>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焦作市临时救助实施细则》（焦民[2020]7号）第十八条规定，“县级财政部门需向同级民政部门提供一定资金预付额度，建立临时救助备用金，用于紧急情况临时救助资金支出和乡镇（街道办事处）直接审批的临时救助资金支出。各县（市）区要在乡镇人民政府（街道办事处）建立临时救助备用金制度，根据辖区人口基数、上年临时救助任务等情况合理确定备用金数额，年初预拨至各乡镇人民政府（街道办事处），提高临时救助水平和时效性。”</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316"/>
        <w:jc w:val="both"/>
        <w:rPr>
          <w:rFonts w:hint="eastAsia" w:ascii="仿宋" w:hAnsi="仿宋" w:eastAsia="仿宋" w:cs="仿宋"/>
          <w:b/>
          <w:bCs/>
          <w:sz w:val="28"/>
          <w:szCs w:val="36"/>
          <w:lang w:val="en-US" w:eastAsia="zh-CN"/>
        </w:rPr>
      </w:pPr>
      <w:r>
        <w:rPr>
          <w:rFonts w:hint="eastAsia" w:ascii="仿宋" w:hAnsi="仿宋" w:eastAsia="仿宋" w:cs="仿宋"/>
          <w:kern w:val="2"/>
          <w:sz w:val="28"/>
          <w:szCs w:val="36"/>
          <w:lang w:val="en-US" w:eastAsia="zh-CN" w:bidi="ar-SA"/>
        </w:rPr>
        <w:t xml:space="preserve">  </w:t>
      </w:r>
      <w:r>
        <w:rPr>
          <w:rFonts w:hint="eastAsia" w:ascii="仿宋" w:hAnsi="仿宋" w:eastAsia="仿宋" w:cs="仿宋"/>
          <w:b/>
          <w:bCs/>
          <w:sz w:val="28"/>
          <w:szCs w:val="36"/>
          <w:lang w:val="en-US" w:eastAsia="zh-CN"/>
        </w:rPr>
        <w:t>实施情况：</w:t>
      </w:r>
    </w:p>
    <w:p>
      <w:pPr>
        <w:spacing w:line="240" w:lineRule="auto"/>
        <w:ind w:firstLine="560" w:firstLineChars="200"/>
        <w:jc w:val="left"/>
        <w:rPr>
          <w:rFonts w:hint="eastAsia" w:ascii="仿宋" w:hAnsi="仿宋" w:eastAsia="仿宋" w:cs="仿宋"/>
          <w:sz w:val="28"/>
          <w:szCs w:val="36"/>
        </w:rPr>
      </w:pPr>
      <w:r>
        <w:rPr>
          <w:rFonts w:hint="eastAsia" w:ascii="仿宋" w:hAnsi="仿宋" w:eastAsia="仿宋" w:cs="仿宋"/>
          <w:kern w:val="2"/>
          <w:sz w:val="28"/>
          <w:szCs w:val="36"/>
          <w:lang w:val="en-US" w:eastAsia="zh-CN" w:bidi="ar-SA"/>
        </w:rPr>
        <w:t>项目资金由武陟县财政局、武陟县民政局负责“2022年城乡困难群众临时救助”项目的立项、资金拨付、监督使用。武陟县财政局负责落实财政资金，武陟县民政局负责落实项目实际开展工作和资金的使用情况。</w:t>
      </w:r>
      <w:r>
        <w:rPr>
          <w:rFonts w:hint="eastAsia" w:ascii="仿宋" w:hAnsi="仿宋" w:eastAsia="仿宋" w:cs="仿宋"/>
          <w:sz w:val="28"/>
          <w:szCs w:val="36"/>
        </w:rPr>
        <w:t xml:space="preserve"> </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68" w:leftChars="0" w:firstLine="562" w:firstLineChars="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 xml:space="preserve">3、资金投入和使用情况 </w:t>
      </w:r>
    </w:p>
    <w:p>
      <w:pPr>
        <w:spacing w:line="240" w:lineRule="auto"/>
        <w:ind w:firstLine="560" w:firstLineChars="200"/>
        <w:jc w:val="left"/>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2022年武陟县民政局收到临时救助中央资金327333元，调剂乡镇备用金户救助资金905820元，共计临时救助资金1233153元。</w:t>
      </w:r>
    </w:p>
    <w:p>
      <w:pPr>
        <w:pStyle w:val="2"/>
        <w:rPr>
          <w:rFonts w:hint="eastAsia" w:ascii="仿宋" w:hAnsi="仿宋" w:eastAsia="仿宋" w:cs="仿宋"/>
          <w:kern w:val="2"/>
          <w:sz w:val="28"/>
          <w:szCs w:val="36"/>
          <w:lang w:val="en-US" w:eastAsia="zh-CN" w:bidi="ar-SA"/>
        </w:rPr>
      </w:pPr>
      <w:r>
        <w:rPr>
          <w:rFonts w:hint="eastAsia" w:ascii="仿宋" w:hAnsi="仿宋" w:eastAsia="仿宋" w:cs="仿宋"/>
          <w:sz w:val="28"/>
          <w:szCs w:val="36"/>
          <w:lang w:val="en-US" w:eastAsia="zh-CN"/>
        </w:rPr>
        <w:t>《关于批复2022年县直部门收支预算的通知》（武财预〔2022〕127号）批复</w:t>
      </w:r>
      <w:r>
        <w:rPr>
          <w:rFonts w:hint="eastAsia" w:ascii="仿宋" w:hAnsi="仿宋" w:eastAsia="仿宋" w:cs="仿宋"/>
          <w:kern w:val="2"/>
          <w:sz w:val="28"/>
          <w:szCs w:val="36"/>
          <w:lang w:val="en-US" w:eastAsia="zh-CN" w:bidi="ar-SA"/>
        </w:rPr>
        <w:t>城乡困难群众临时救助本级项目预算资金106万元，2022年度调剂至乡镇户资金905820元，财政收回资金154180元。故本项目当年在武陟县民政局资金实际为0元。由于考虑武陟县民政局负责签头实施临时救助工作并进行最终完成审批工作，故将武陟县民政局审批范围内的用于临时救助的全部资金全部考虑在内。</w:t>
      </w:r>
    </w:p>
    <w:p>
      <w:pPr>
        <w:pStyle w:val="2"/>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按照按民政局提供的2022年全年临时救助发放名册汇总表等资料显示：2022年度共使用和发放临时救助资金1712557元，其中使用中央资金327333元，乡镇户调剂资金1077777元（包括2021年已支付2022年第一季度临时救助资金43万元），7月发放实物救助307447元（系2021年支付）。</w:t>
      </w:r>
    </w:p>
    <w:p>
      <w:pPr>
        <w:pStyle w:val="2"/>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扣除2021年支付的资金外，2022年实际发放资金975110元（包括中央资金327333元，乡镇户调剂资金647777元。</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30" w:leftChars="0" w:firstLine="600" w:firstLineChars="0"/>
        <w:jc w:val="both"/>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kern w:val="2"/>
          <w:sz w:val="28"/>
          <w:szCs w:val="36"/>
          <w:lang w:val="en-US" w:eastAsia="zh-CN" w:bidi="ar-SA"/>
        </w:rPr>
        <w:t>2022年度共发放给临时救助对象945人，发放实物对象1841人。发放实物对象的金额标准为167元/人。</w:t>
      </w:r>
    </w:p>
    <w:p>
      <w:pPr>
        <w:keepNext w:val="0"/>
        <w:keepLines w:val="0"/>
        <w:pageBreakBefore w:val="0"/>
        <w:widowControl/>
        <w:suppressLineNumbers w:val="0"/>
        <w:kinsoku/>
        <w:wordWrap/>
        <w:overflowPunct/>
        <w:topLinePunct w:val="0"/>
        <w:autoSpaceDE/>
        <w:autoSpaceDN/>
        <w:bidi w:val="0"/>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（二）项目绩效目标</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36"/>
          <w:lang w:val="en-US" w:eastAsia="zh-CN"/>
        </w:rPr>
        <w:t>2022</w:t>
      </w:r>
      <w:r>
        <w:rPr>
          <w:rFonts w:hint="eastAsia" w:ascii="仿宋" w:hAnsi="仿宋" w:eastAsia="仿宋" w:cs="仿宋"/>
          <w:sz w:val="28"/>
          <w:szCs w:val="36"/>
        </w:rPr>
        <w:t>年，</w:t>
      </w:r>
      <w:r>
        <w:rPr>
          <w:rFonts w:hint="eastAsia" w:ascii="仿宋" w:hAnsi="仿宋" w:eastAsia="仿宋" w:cs="仿宋"/>
          <w:sz w:val="28"/>
          <w:szCs w:val="36"/>
          <w:lang w:val="en-US" w:eastAsia="zh-CN"/>
        </w:rPr>
        <w:t>武陟县民政局</w:t>
      </w:r>
      <w:r>
        <w:rPr>
          <w:rFonts w:hint="eastAsia" w:ascii="仿宋" w:hAnsi="仿宋" w:eastAsia="仿宋" w:cs="仿宋"/>
          <w:sz w:val="28"/>
          <w:szCs w:val="36"/>
        </w:rPr>
        <w:t>对“</w:t>
      </w:r>
      <w:r>
        <w:rPr>
          <w:rFonts w:hint="eastAsia" w:ascii="仿宋" w:hAnsi="仿宋" w:eastAsia="仿宋" w:cs="仿宋"/>
          <w:sz w:val="28"/>
          <w:szCs w:val="36"/>
          <w:lang w:val="en-US" w:eastAsia="zh-CN"/>
        </w:rPr>
        <w:t>城乡困难群众临时救助</w:t>
      </w:r>
      <w:r>
        <w:rPr>
          <w:rFonts w:hint="eastAsia" w:ascii="仿宋" w:hAnsi="仿宋" w:eastAsia="仿宋" w:cs="仿宋"/>
          <w:sz w:val="28"/>
          <w:szCs w:val="36"/>
        </w:rPr>
        <w:t>”项目进行绩效目标申报。</w:t>
      </w:r>
      <w:r>
        <w:rPr>
          <w:rFonts w:hint="eastAsia" w:ascii="仿宋" w:hAnsi="仿宋" w:eastAsia="仿宋" w:cs="仿宋"/>
          <w:kern w:val="2"/>
          <w:sz w:val="28"/>
          <w:szCs w:val="28"/>
          <w:highlight w:val="none"/>
          <w:lang w:val="en-US" w:eastAsia="zh-CN" w:bidi="ar-SA"/>
        </w:rPr>
        <w:t>武陟县民政局提供的该项目绩效目标表如下：</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5"/>
        <w:gridCol w:w="764"/>
        <w:gridCol w:w="1155"/>
        <w:gridCol w:w="1619"/>
        <w:gridCol w:w="1067"/>
        <w:gridCol w:w="1378"/>
        <w:gridCol w:w="856"/>
        <w:gridCol w:w="963"/>
        <w:gridCol w:w="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152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项目名称</w:t>
            </w:r>
          </w:p>
        </w:tc>
        <w:tc>
          <w:tcPr>
            <w:tcW w:w="347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城乡困难群众临时救助项目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152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主管部门</w:t>
            </w:r>
          </w:p>
        </w:tc>
        <w:tc>
          <w:tcPr>
            <w:tcW w:w="145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武陟县民政局</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单位名称</w:t>
            </w:r>
          </w:p>
        </w:tc>
        <w:tc>
          <w:tcPr>
            <w:tcW w:w="12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武陟县民政局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52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项目资金（万元）</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实施期资金总额</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106万元</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年度资金总额</w:t>
            </w:r>
          </w:p>
        </w:tc>
        <w:tc>
          <w:tcPr>
            <w:tcW w:w="12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52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其中：财政拨款</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106万元</w:t>
            </w:r>
          </w:p>
        </w:tc>
        <w:tc>
          <w:tcPr>
            <w:tcW w:w="7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其中：财政拨款</w:t>
            </w:r>
          </w:p>
        </w:tc>
        <w:tc>
          <w:tcPr>
            <w:tcW w:w="12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2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其他资金</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其他资金</w:t>
            </w:r>
          </w:p>
        </w:tc>
        <w:tc>
          <w:tcPr>
            <w:tcW w:w="12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w:t>
            </w:r>
          </w:p>
        </w:tc>
        <w:tc>
          <w:tcPr>
            <w:tcW w:w="248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实施期目标</w:t>
            </w:r>
          </w:p>
        </w:tc>
        <w:tc>
          <w:tcPr>
            <w:tcW w:w="202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2487"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规范实施临时救助政策，实现及时高效，救急就难，2022年需106万元</w:t>
            </w:r>
          </w:p>
        </w:tc>
        <w:tc>
          <w:tcPr>
            <w:tcW w:w="2028"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规范实施临时救助政策，实现及时高效，救急就难，2022年需106万元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一级指标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二级指标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三级指标</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指标值类型</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指标值</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度量单位</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指标值说明</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经济成本指标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城乡困难群众临时救助</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万元</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社会成本指标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生态环境成本指标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全年临时救助人次</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0.5万</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人次</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救助准确率</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时效指标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及时拨付资金</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定性</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资金拨付及时</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效益指标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经济效益指    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社会效益指    标</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0"/>
                <w:szCs w:val="20"/>
                <w:u w:val="none"/>
                <w:lang w:val="en-US" w:eastAsia="zh-CN" w:bidi="ar"/>
              </w:rPr>
              <w:t>规范实施临时救助政策，实现及时高效，救急就难</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定性</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不断提高</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生态效益指    标</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21"/>
                <w:szCs w:val="21"/>
                <w:u w:val="none"/>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满意度指  标</w:t>
            </w:r>
          </w:p>
        </w:tc>
        <w:tc>
          <w:tcPr>
            <w:tcW w:w="6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服务对象满 意度指标</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救助对象的满意度、对政府和党的认同感</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r>
    </w:tbl>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依据现有项目资料，梳理绩效目标如下：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1、单位项目的总体目标和年度绩效目标为：</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kern w:val="2"/>
          <w:sz w:val="28"/>
          <w:szCs w:val="36"/>
          <w:lang w:val="en-US" w:eastAsia="zh-CN" w:bidi="ar-SA"/>
        </w:rPr>
        <w:t>按照“救急救难、及时有效、方便快捷”的工作要求，准确把握临时救助的非定期、非定量特征，根据困难对象的特殊现状和维持当前基本生活的需求，结合本地实际深入开展临时救助工作，要加强各项救助制度的衔接配套，注意发挥社会救助的综合效应，形成临时救助与慈善事业及其他社会救助措施各有侧重、相互衔接、良性互动的运行机制，有效保障困难群众的基本生活。</w:t>
      </w:r>
    </w:p>
    <w:p>
      <w:pPr>
        <w:keepNext w:val="0"/>
        <w:keepLines w:val="0"/>
        <w:pageBreakBefore w:val="0"/>
        <w:widowControl w:val="0"/>
        <w:suppressLineNumbers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2、单位项目自评情况；经核审的单位项目自评得分为100分，自评表内容与原定的绩效目标和年初细化出的产出指标相对应。</w:t>
      </w:r>
    </w:p>
    <w:p>
      <w:pPr>
        <w:keepNext w:val="0"/>
        <w:keepLines w:val="0"/>
        <w:pageBreakBefore w:val="0"/>
        <w:widowControl w:val="0"/>
        <w:suppressLineNumbers w:val="0"/>
        <w:kinsoku/>
        <w:wordWrap/>
        <w:overflowPunct/>
        <w:topLinePunct w:val="0"/>
        <w:autoSpaceDE/>
        <w:autoSpaceDN/>
        <w:bidi w:val="0"/>
        <w:adjustRightInd/>
        <w:snapToGrid/>
        <w:spacing w:line="240" w:lineRule="auto"/>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lang w:val="en-US" w:eastAsia="zh-CN" w:bidi="ar"/>
        </w:rPr>
        <w:t xml:space="preserve">二、绩效评价工作开展情况 </w:t>
      </w:r>
    </w:p>
    <w:p>
      <w:pPr>
        <w:keepNext w:val="0"/>
        <w:keepLines w:val="0"/>
        <w:pageBreakBefore w:val="0"/>
        <w:widowControl w:val="0"/>
        <w:suppressLineNumbers w:val="0"/>
        <w:kinsoku/>
        <w:wordWrap/>
        <w:overflowPunct/>
        <w:topLinePunct w:val="0"/>
        <w:autoSpaceDE/>
        <w:autoSpaceDN/>
        <w:bidi w:val="0"/>
        <w:adjustRightInd/>
        <w:snapToGrid/>
        <w:spacing w:line="24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（一）绩效评价目的、对象和范围</w:t>
      </w:r>
    </w:p>
    <w:p>
      <w:pPr>
        <w:keepNext w:val="0"/>
        <w:keepLines w:val="0"/>
        <w:pageBreakBefore w:val="0"/>
        <w:widowControl w:val="0"/>
        <w:suppressLineNumbers w:val="0"/>
        <w:kinsoku/>
        <w:wordWrap/>
        <w:overflowPunct/>
        <w:topLinePunct w:val="0"/>
        <w:autoSpaceDE/>
        <w:autoSpaceDN/>
        <w:bidi w:val="0"/>
        <w:adjustRightInd/>
        <w:snapToGrid/>
        <w:spacing w:line="24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bookmarkStart w:id="0" w:name="_Toc5434"/>
      <w:r>
        <w:rPr>
          <w:rFonts w:hint="eastAsia" w:ascii="仿宋" w:hAnsi="仿宋" w:eastAsia="仿宋" w:cs="仿宋"/>
          <w:b/>
          <w:bCs/>
          <w:color w:val="000000"/>
          <w:kern w:val="0"/>
          <w:sz w:val="28"/>
          <w:szCs w:val="28"/>
          <w:lang w:val="en-US" w:eastAsia="zh-CN" w:bidi="ar"/>
        </w:rPr>
        <w:t>1、评价目的</w:t>
      </w:r>
      <w:bookmarkEnd w:id="0"/>
    </w:p>
    <w:p>
      <w:pPr>
        <w:keepNext w:val="0"/>
        <w:keepLines w:val="0"/>
        <w:pageBreakBefore w:val="0"/>
        <w:widowControl w:val="0"/>
        <w:suppressLineNumbers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36"/>
        </w:rPr>
        <w:t>（1）</w:t>
      </w:r>
      <w:r>
        <w:rPr>
          <w:rFonts w:hint="eastAsia" w:ascii="仿宋" w:hAnsi="仿宋" w:eastAsia="仿宋" w:cs="仿宋"/>
          <w:kern w:val="2"/>
          <w:sz w:val="28"/>
          <w:szCs w:val="28"/>
          <w:lang w:val="en-US" w:eastAsia="zh-CN" w:bidi="ar-SA"/>
        </w:rPr>
        <w:t>通过本次绩效评价，总结“城乡困难群众临时救助”在项目立项、资金拨付、监督使用、资金支付等事项的规范运作流程，强化实施产出、效果等方面的经验，发现问题，提出建设性建议，并对项目支出的经济性、效率性和效益性和公平性进行客观、公正的分析和评判。按规定应救尽救，救助及时，救助适度，增强财政资金支出的规范性和合理性，依法监管、改进服务、提高效能，进一步优化资源配置，增强社会公众的满意度，使财政资金更好地发挥实效。</w:t>
      </w:r>
    </w:p>
    <w:p>
      <w:pPr>
        <w:pStyle w:val="12"/>
        <w:keepNext w:val="0"/>
        <w:keepLines w:val="0"/>
        <w:pageBreakBefore w:val="0"/>
        <w:widowControl w:val="0"/>
        <w:kinsoku/>
        <w:wordWrap/>
        <w:overflowPunct/>
        <w:topLinePunct w:val="0"/>
        <w:autoSpaceDE/>
        <w:autoSpaceDN/>
        <w:bidi w:val="0"/>
        <w:adjustRightInd/>
        <w:snapToGrid/>
        <w:spacing w:after="0" w:line="24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（2）通过评价，了解、分析，衡量项目是否达到预期目标，项目资金的拨付是否及时，使用是否合规有效，项目建设管理机制能否有效保障绩效目标的实现。</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（3）通过对项目支出的经济性、效率性和效益性和公平性进行客观、公正的测量、分析和评判。</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（4）总结经验、发现问题，深入分析原因，提出科学的改进措施与建议。增强财政资金支出的规范性和合理性，进一步优化资源配置，使财政资金更好地发挥实效。</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2、评价对象</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本次绩效评价对象为</w:t>
      </w:r>
      <w:r>
        <w:rPr>
          <w:rFonts w:hint="eastAsia" w:ascii="仿宋" w:hAnsi="仿宋" w:eastAsia="仿宋" w:cs="仿宋"/>
          <w:kern w:val="2"/>
          <w:sz w:val="28"/>
          <w:szCs w:val="36"/>
          <w:lang w:val="en-US" w:eastAsia="zh-CN" w:bidi="ar-SA"/>
        </w:rPr>
        <w:t>武陟县民政局，资金范围为2022年临时救助资金1233153元，其中武陟县民政局收到临时救助中央资金327333元，该项目资金调剂乡镇备用金户救助资金905820元。本次评价项目城乡困难群众临时救助预算资金106万元，调剂到乡镇备用金户资金905820元，其余资金154180元财政收回。本次评价项目资金按1233153万元进行评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3、评价范围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本次评价范围为2022年财政预算的“城乡困难群众临时救助”项目1233153元中有关本级项目资金106万元的决策、过程、产出及效益情况。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（二）绩效评价原则、评价方法、评价标准 、评价依据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0" w:leftChars="0" w:firstLine="0" w:firstLineChars="0"/>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1、评价原则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（1）科学公正。绩效评价应当运用科学合理的方法，按照规范的程序，对项目绩效进行客观、公正的反映。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（2）统筹兼顾。财政评价应职责明确，各有侧重，相互衔接。财政评价分别由预算部门和财政部门组织实施。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（3）激励约束。绩效评价结果应与预算安排、政策调整、改进管理实质性挂钩，体现奖优罚劣和激励相容导向，有效要安排、低效要压减、无效要问责。 </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（4）公开透明。绩效评价结果应依法依规公开，并自觉接受社会监督。</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2、评价方法</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本次评价的方法主要包括成本效益分析法、比较法、因素分析法、最低成本法、公众评判法、标杆管理法等，同时与现场走访相结合，分类分层梳理项目整体实施情况，进行综合分析，形成评价结论。</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（1）成本效益法：对整个项目的成本和收益进行对比，从而做出项目决策的一种方法。</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（2）比较法：通过比较财政支出所产生的实际效果与预定的目标，分析完成(或未完成)目标的因素，从而评价财政支出绩效。</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（3）因素分析法：是指通过综合分析影响绩效目标实现、实施效果的内外因素，评价绩效目标的实现程度。许多支出项目运用因素分析法，通过不同因素的权重评比，进行综合分析。</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（4）最低成本法：在完成既定目标的情况下，追求成本最低的方法。</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（5）公众评判法：是指通过专家评估、公众问卷及抽样调查等方式进行评判的方法。</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（6）标杆管理法：是指以国内外同行业中较高的绩效水平为标杆进行评判的方法。</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3、评价标准</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绩效评价标准通常包括计划标准、行业标准、历史标准等，用于对绩效指标完成情况进行比较。 </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（1）计划标准。指以预先制定的目标、计划、预算、定额等作为评价标准。 </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（2）行业标准。指参照国家公布的行业指标数据制定的评价标准。 </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（3）历史标准。指参照历史数据制定的评价标准，为体现绩效改进的原则，在可实现的条件下应当确定相对较高的评价标准。 </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（4）财政部门和预算部门确认或认可的其他标准。</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4、评价依据</w:t>
      </w:r>
    </w:p>
    <w:p>
      <w:pPr>
        <w:pStyle w:val="12"/>
        <w:keepNext w:val="0"/>
        <w:keepLines w:val="0"/>
        <w:pageBreakBefore w:val="0"/>
        <w:widowControl w:val="0"/>
        <w:kinsoku/>
        <w:wordWrap/>
        <w:overflowPunct/>
        <w:topLinePunct w:val="0"/>
        <w:autoSpaceDE/>
        <w:autoSpaceDN/>
        <w:bidi w:val="0"/>
        <w:adjustRightInd/>
        <w:snapToGrid/>
        <w:spacing w:after="0" w:line="240" w:lineRule="auto"/>
        <w:ind w:left="0" w:leftChars="0" w:firstLine="560" w:firstLineChars="200"/>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评价依据包括但不限于：国家、省、市相关法律、法规和方针政策、规章制度；国家、省、市各级政府制定的国民经济与社会发展规划；各级财政部门制定的政策评价管理制度及工作规范；部门（单位）职能职责、中长期发展规划和年度工作计划、绩效目标；相关行业政策、行业标准及专业技术规范；其他相关材料等。具体评价依据如下：</w:t>
      </w:r>
    </w:p>
    <w:p>
      <w:pPr>
        <w:pStyle w:val="12"/>
        <w:keepNext w:val="0"/>
        <w:keepLines w:val="0"/>
        <w:pageBreakBefore w:val="0"/>
        <w:widowControl w:val="0"/>
        <w:kinsoku/>
        <w:wordWrap/>
        <w:overflowPunct/>
        <w:topLinePunct w:val="0"/>
        <w:autoSpaceDE/>
        <w:autoSpaceDN/>
        <w:bidi w:val="0"/>
        <w:adjustRightInd/>
        <w:snapToGrid/>
        <w:spacing w:after="0" w:line="240" w:lineRule="auto"/>
        <w:ind w:left="0"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1.预算绩效类：</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（1）《中华人民共和国预算法》（2014年修正）；</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（2）《中共中央国务院关于全面实施预算绩效管理的意见》（国卫财发〔2021〕16号）；</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（3）《中共河南省委河南省人民政府关于全面实施预算绩效管理的实施意见》（豫发〔2019〕10号）；</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（4）《河南省省级预算项目支出绩效管理办法》。</w:t>
      </w:r>
    </w:p>
    <w:p>
      <w:pPr>
        <w:pStyle w:val="12"/>
        <w:keepNext w:val="0"/>
        <w:keepLines w:val="0"/>
        <w:pageBreakBefore w:val="0"/>
        <w:widowControl w:val="0"/>
        <w:kinsoku/>
        <w:wordWrap/>
        <w:overflowPunct/>
        <w:topLinePunct w:val="0"/>
        <w:autoSpaceDE/>
        <w:autoSpaceDN/>
        <w:bidi w:val="0"/>
        <w:adjustRightInd/>
        <w:snapToGrid/>
        <w:spacing w:after="0" w:line="24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2.业务类：</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（1）《焦作市人民政府办公室关于进一步完善焦作市城乡困难群众临时救助制度的通知》（焦政办〔2014〕16号）；</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（2）《河南省民政厅 河南省财政厅关于建立健全城乡困难群众临时救助制度的通知》（豫民文〔2011〕152号）；</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（3）《焦作市民政局 焦作市财政局 焦作市扶贫开发办公室关于印发焦作市临时救助实施细则的通知》（焦民〔2020〕7号）</w:t>
      </w:r>
    </w:p>
    <w:p>
      <w:pPr>
        <w:pStyle w:val="12"/>
        <w:keepNext w:val="0"/>
        <w:keepLines w:val="0"/>
        <w:pageBreakBefore w:val="0"/>
        <w:widowControl w:val="0"/>
        <w:kinsoku/>
        <w:wordWrap/>
        <w:overflowPunct/>
        <w:topLinePunct w:val="0"/>
        <w:autoSpaceDE/>
        <w:autoSpaceDN/>
        <w:bidi w:val="0"/>
        <w:adjustRightInd/>
        <w:snapToGrid/>
        <w:spacing w:after="0" w:line="24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3.资金类</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1）</w:t>
      </w:r>
      <w:r>
        <w:rPr>
          <w:rFonts w:hint="eastAsia" w:ascii="仿宋" w:hAnsi="仿宋" w:eastAsia="仿宋" w:cs="仿宋"/>
          <w:sz w:val="28"/>
          <w:szCs w:val="36"/>
        </w:rPr>
        <w:t>《专项资金拨付管理办法》</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（2）《关于批复2022年县直部门收支预算的通知》（武财预〔2022〕127号）</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（三）评价指标体系、评分标准</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bookmarkStart w:id="1" w:name="_Toc18619"/>
      <w:r>
        <w:rPr>
          <w:rFonts w:hint="eastAsia" w:ascii="仿宋" w:hAnsi="仿宋" w:eastAsia="仿宋" w:cs="仿宋"/>
          <w:b w:val="0"/>
          <w:bCs w:val="0"/>
          <w:color w:val="000000"/>
          <w:kern w:val="0"/>
          <w:sz w:val="28"/>
          <w:szCs w:val="28"/>
          <w:lang w:val="en-US" w:eastAsia="zh-CN" w:bidi="ar"/>
        </w:rPr>
        <w:t>1、评价指标设计的总体思路</w:t>
      </w:r>
      <w:bookmarkEnd w:id="1"/>
    </w:p>
    <w:p>
      <w:pPr>
        <w:pStyle w:val="1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全面梳理武陟县民政局城乡困难群众临时救助项目绩效目标，按照《河南省省级预算项目支出绩效评价管理办法》（豫财效〔2020〕10号）项目支出绩效评价指标体系框架，结合本项目实际情况，从决策、过程、产出、效益4个方面设计绩效评价指标体系。</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color w:val="000000"/>
          <w:kern w:val="0"/>
          <w:sz w:val="28"/>
          <w:szCs w:val="28"/>
          <w:lang w:val="en-US" w:eastAsia="zh-CN" w:bidi="ar"/>
        </w:rPr>
      </w:pPr>
      <w:bookmarkStart w:id="2" w:name="_Toc22911"/>
      <w:r>
        <w:rPr>
          <w:rFonts w:hint="eastAsia" w:ascii="仿宋" w:hAnsi="仿宋" w:eastAsia="仿宋" w:cs="仿宋"/>
          <w:b w:val="0"/>
          <w:bCs w:val="0"/>
          <w:color w:val="000000"/>
          <w:kern w:val="0"/>
          <w:sz w:val="28"/>
          <w:szCs w:val="28"/>
          <w:lang w:val="en-US" w:eastAsia="zh-CN" w:bidi="ar"/>
        </w:rPr>
        <w:t>2、评价指标</w:t>
      </w:r>
      <w:bookmarkEnd w:id="2"/>
      <w:r>
        <w:rPr>
          <w:rFonts w:hint="eastAsia" w:ascii="仿宋" w:hAnsi="仿宋" w:eastAsia="仿宋" w:cs="仿宋"/>
          <w:b w:val="0"/>
          <w:bCs w:val="0"/>
          <w:color w:val="000000"/>
          <w:kern w:val="0"/>
          <w:sz w:val="28"/>
          <w:szCs w:val="28"/>
          <w:lang w:val="en-US" w:eastAsia="zh-CN" w:bidi="ar"/>
        </w:rPr>
        <w:t>体系</w:t>
      </w:r>
      <w:bookmarkStart w:id="3" w:name="_GoBack"/>
      <w:bookmarkEnd w:id="3"/>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本次指标体系从决策，过程、产出和效益4个方面进行分析，具体如下：</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1.决策</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决策指标权重分15分，本项目从项目立项、项目目标和资金投入三个角度。</w:t>
      </w:r>
      <w:r>
        <w:rPr>
          <w:rFonts w:hint="eastAsia" w:ascii="仿宋" w:hAnsi="仿宋" w:eastAsia="仿宋" w:cs="仿宋"/>
          <w:b w:val="0"/>
          <w:bCs w:val="0"/>
          <w:color w:val="000000"/>
          <w:kern w:val="0"/>
          <w:sz w:val="28"/>
          <w:szCs w:val="28"/>
          <w:lang w:val="en-US" w:eastAsia="zh-CN" w:bidi="ar"/>
        </w:rPr>
        <w:tab/>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2.过程</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过程指标权重分25分，本项目从资金管理和组织实施两个角度考察。</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3.产出</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产出指标权重分35分，本项目从产出数量、产出质量、产出实效和成本指标四个角度考察。</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4.效益</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效益指标权重分25分，本项目从经济效益、社会效益、和服务对象满意度三个角度考察。</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具体评价指标体系为：</w:t>
      </w:r>
    </w:p>
    <w:p>
      <w:pPr>
        <w:keepNext w:val="0"/>
        <w:keepLines w:val="0"/>
        <w:pageBreakBefore w:val="0"/>
        <w:widowControl w:val="0"/>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color w:val="000000"/>
          <w:kern w:val="0"/>
          <w:sz w:val="28"/>
          <w:szCs w:val="28"/>
          <w:lang w:val="en-US" w:eastAsia="zh-CN" w:bidi="ar"/>
        </w:rPr>
      </w:pPr>
    </w:p>
    <w:p>
      <w:pPr>
        <w:pStyle w:val="2"/>
        <w:rPr>
          <w:rFonts w:hint="eastAsia" w:ascii="仿宋" w:hAnsi="仿宋" w:eastAsia="仿宋" w:cs="仿宋"/>
          <w:sz w:val="28"/>
          <w:szCs w:val="28"/>
          <w:lang w:val="en-US" w:eastAsia="zh-CN"/>
        </w:rPr>
      </w:pPr>
    </w:p>
    <w:p>
      <w:pPr>
        <w:pStyle w:val="2"/>
        <w:rPr>
          <w:rFonts w:hint="eastAsia" w:ascii="仿宋" w:hAnsi="仿宋" w:eastAsia="仿宋" w:cs="仿宋"/>
          <w:sz w:val="28"/>
          <w:szCs w:val="28"/>
          <w:lang w:val="en-US" w:eastAsia="zh-CN"/>
        </w:rPr>
      </w:pPr>
    </w:p>
    <w:p>
      <w:pPr>
        <w:pStyle w:val="2"/>
        <w:rPr>
          <w:rFonts w:hint="eastAsia" w:ascii="仿宋" w:hAnsi="仿宋" w:eastAsia="仿宋" w:cs="仿宋"/>
          <w:sz w:val="28"/>
          <w:szCs w:val="28"/>
          <w:lang w:val="en-US" w:eastAsia="zh-CN"/>
        </w:rPr>
      </w:pPr>
    </w:p>
    <w:p>
      <w:pPr>
        <w:pStyle w:val="2"/>
        <w:rPr>
          <w:rFonts w:hint="eastAsia" w:ascii="仿宋" w:hAnsi="仿宋" w:eastAsia="仿宋" w:cs="仿宋"/>
          <w:sz w:val="28"/>
          <w:szCs w:val="28"/>
          <w:lang w:val="en-US" w:eastAsia="zh-CN"/>
        </w:rPr>
      </w:pPr>
    </w:p>
    <w:p>
      <w:pPr>
        <w:pStyle w:val="2"/>
        <w:rPr>
          <w:rFonts w:hint="eastAsia" w:ascii="仿宋" w:hAnsi="仿宋" w:eastAsia="仿宋" w:cs="仿宋"/>
          <w:sz w:val="28"/>
          <w:szCs w:val="28"/>
          <w:lang w:val="en-US" w:eastAsia="zh-CN"/>
        </w:rPr>
      </w:pPr>
    </w:p>
    <w:p>
      <w:pPr>
        <w:pStyle w:val="2"/>
        <w:rPr>
          <w:rFonts w:hint="eastAsia"/>
          <w:lang w:val="en-US" w:eastAsia="zh-CN"/>
        </w:rPr>
        <w:sectPr>
          <w:headerReference r:id="rId4" w:type="default"/>
          <w:footerReference r:id="rId5" w:type="default"/>
          <w:pgSz w:w="11906" w:h="16838"/>
          <w:pgMar w:top="1440" w:right="1066" w:bottom="1440" w:left="1800" w:header="851" w:footer="992" w:gutter="0"/>
          <w:pgNumType w:fmt="decimal" w:start="1"/>
          <w:cols w:space="425" w:num="1"/>
          <w:docGrid w:type="lines" w:linePitch="312" w:charSpace="0"/>
        </w:sectPr>
      </w:pPr>
    </w:p>
    <w:p>
      <w:pPr>
        <w:pStyle w:val="2"/>
        <w:rPr>
          <w:rFonts w:hint="eastAsia"/>
          <w:lang w:val="en-US" w:eastAsia="zh-CN"/>
        </w:rPr>
      </w:pPr>
    </w:p>
    <w:tbl>
      <w:tblPr>
        <w:tblStyle w:val="10"/>
        <w:tblW w:w="502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691"/>
        <w:gridCol w:w="1245"/>
        <w:gridCol w:w="914"/>
        <w:gridCol w:w="1695"/>
        <w:gridCol w:w="629"/>
        <w:gridCol w:w="2317"/>
        <w:gridCol w:w="3308"/>
        <w:gridCol w:w="2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blHeader/>
        </w:trPr>
        <w:tc>
          <w:tcPr>
            <w:tcW w:w="36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42"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43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321"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595"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221"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813" w:type="pct"/>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指标解释</w:t>
            </w:r>
          </w:p>
        </w:tc>
        <w:tc>
          <w:tcPr>
            <w:tcW w:w="1161"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指标说明</w:t>
            </w:r>
          </w:p>
        </w:tc>
        <w:tc>
          <w:tcPr>
            <w:tcW w:w="842" w:type="pct"/>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评分标准及评分规则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63"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决策</w:t>
            </w:r>
          </w:p>
        </w:tc>
        <w:tc>
          <w:tcPr>
            <w:tcW w:w="242"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37"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项目立项</w:t>
            </w:r>
          </w:p>
        </w:tc>
        <w:tc>
          <w:tcPr>
            <w:tcW w:w="32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95"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立项依据充分性</w:t>
            </w:r>
          </w:p>
        </w:tc>
        <w:tc>
          <w:tcPr>
            <w:tcW w:w="22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13" w:type="pct"/>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项目立项是否符合法律法规、相关政策、发展规划以及部门职责，用以反映和考核项目立项依据情况。</w:t>
            </w:r>
          </w:p>
        </w:tc>
        <w:tc>
          <w:tcPr>
            <w:tcW w:w="1161" w:type="pct"/>
            <w:tcBorders>
              <w:top w:val="single" w:color="000000" w:sz="8" w:space="0"/>
              <w:left w:val="single" w:color="000000" w:sz="8" w:space="0"/>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①②③④各占1/4权重分，符合对应要素得相应权重分。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①项目立项是否符合国家法律法规、国民经济发展规划和相关政策；</w:t>
            </w:r>
          </w:p>
        </w:tc>
        <w:tc>
          <w:tcPr>
            <w:tcW w:w="8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②项目立项是否符合行业发展规划和政策要求；</w:t>
            </w:r>
          </w:p>
        </w:tc>
        <w:tc>
          <w:tcPr>
            <w:tcW w:w="8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③项目立项是否与部门职责范围相符，属于部门履职所需；</w:t>
            </w:r>
          </w:p>
        </w:tc>
        <w:tc>
          <w:tcPr>
            <w:tcW w:w="8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④项目是否属于公共财政支持范围，是否符合中央、地方事权支出责任划分原则；</w:t>
            </w:r>
          </w:p>
        </w:tc>
        <w:tc>
          <w:tcPr>
            <w:tcW w:w="8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立项程序规范性</w:t>
            </w:r>
          </w:p>
        </w:tc>
        <w:tc>
          <w:tcPr>
            <w:tcW w:w="22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13" w:type="pct"/>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项目申请、设立过程是否符合相关要求，用以反映和考核项目立项的规范情况。</w:t>
            </w: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①②③各占1/3权重分，符合对应要素得相应权重分。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①项目是否按照规定的程序申请设立；</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②审批文件、材料是否符合相关要求；</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③事前是否已经过必要的可行性研究、集体决策。</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项目目标</w:t>
            </w:r>
          </w:p>
        </w:tc>
        <w:tc>
          <w:tcPr>
            <w:tcW w:w="32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95"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绩效目标</w:t>
            </w:r>
          </w:p>
        </w:tc>
        <w:tc>
          <w:tcPr>
            <w:tcW w:w="22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13" w:type="pct"/>
            <w:vMerge w:val="restart"/>
            <w:tcBorders>
              <w:top w:val="nil"/>
              <w:left w:val="nil"/>
              <w:bottom w:val="single" w:color="000000"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项目所设定的绩效目标是否依据充分，是否符合客观实际，用以反映和考核项目绩效目标与项目实施的相符情况。</w:t>
            </w:r>
          </w:p>
        </w:tc>
        <w:tc>
          <w:tcPr>
            <w:tcW w:w="1161" w:type="pct"/>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①②③④各占1/4权重分，符合对应要素得相应权重分。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①项目是否有绩效目标；</w:t>
            </w:r>
          </w:p>
        </w:tc>
        <w:tc>
          <w:tcPr>
            <w:tcW w:w="842" w:type="pct"/>
            <w:vMerge w:val="continue"/>
            <w:tcBorders>
              <w:top w:val="nil"/>
              <w:left w:val="single" w:color="auto" w:sz="4"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②项目绩效目标与实际工作内容是否具有相关性；</w:t>
            </w:r>
          </w:p>
        </w:tc>
        <w:tc>
          <w:tcPr>
            <w:tcW w:w="842" w:type="pct"/>
            <w:vMerge w:val="continue"/>
            <w:tcBorders>
              <w:top w:val="nil"/>
              <w:left w:val="single" w:color="auto" w:sz="4"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③项目预期产出效益和效果是否符合正常的业绩水平；</w:t>
            </w:r>
          </w:p>
        </w:tc>
        <w:tc>
          <w:tcPr>
            <w:tcW w:w="842" w:type="pct"/>
            <w:vMerge w:val="continue"/>
            <w:tcBorders>
              <w:top w:val="nil"/>
              <w:left w:val="single" w:color="auto" w:sz="4"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63" w:type="pct"/>
            <w:vMerge w:val="continue"/>
            <w:tcBorders>
              <w:top w:val="nil"/>
              <w:left w:val="single" w:color="000000" w:sz="8" w:space="0"/>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④是否与预算确定的项目投资额或资金量相匹配。</w:t>
            </w:r>
          </w:p>
        </w:tc>
        <w:tc>
          <w:tcPr>
            <w:tcW w:w="842" w:type="pct"/>
            <w:vMerge w:val="continue"/>
            <w:tcBorders>
              <w:top w:val="nil"/>
              <w:left w:val="single" w:color="auto" w:sz="4"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3" w:type="pct"/>
            <w:vMerge w:val="continue"/>
            <w:tcBorders>
              <w:top w:val="single" w:color="auto" w:sz="4" w:space="0"/>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single" w:color="auto" w:sz="4" w:space="0"/>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13" w:type="pct"/>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依据绩效目标设定的绩效指标是否清晰、细化、可衡量等，用以反映和考核项目绩效目标的明细化情况。</w:t>
            </w:r>
          </w:p>
        </w:tc>
        <w:tc>
          <w:tcPr>
            <w:tcW w:w="1161" w:type="pct"/>
            <w:tcBorders>
              <w:top w:val="single" w:color="auto" w:sz="4" w:space="0"/>
              <w:left w:val="single" w:color="auto"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①②③各占1/3权重分，符合对应要素得相应权重分。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①是否将项目绩效目标细化分解为具体的绩效指标；</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②是否通过清晰、可衡量的指标值予以体现；</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③是否与项目目标任务数或计划数相对应。</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资金投入</w:t>
            </w:r>
          </w:p>
        </w:tc>
        <w:tc>
          <w:tcPr>
            <w:tcW w:w="32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95"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预算编制科学性</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13" w:type="pct"/>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项目预算编制是否经过科学论证、有明确标准，资金额度与年度目标是否相适应，用以反映和考核项目预算编制的科学性、合理性情况。</w:t>
            </w:r>
          </w:p>
        </w:tc>
        <w:tc>
          <w:tcPr>
            <w:tcW w:w="1161"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①②③④各占1/4权重分，符合对应要素得相应权重分。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①预算编制是否经过科学论证；</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②预算内容与项目内容是否匹配；</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③预算额度测算依据是否充分，是否按照标准编制；</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④预算确定的项目投资额或资金量是否与工作任务相匹配。</w:t>
            </w:r>
          </w:p>
        </w:tc>
        <w:tc>
          <w:tcPr>
            <w:tcW w:w="842" w:type="pct"/>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资金分配合理性</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13" w:type="pct"/>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项目预算资金分配是否有测算依据，与补助单位或地方实际是否相适应，用以反映和考核项目预算资金分配的科学性、合理性情况。</w:t>
            </w:r>
          </w:p>
        </w:tc>
        <w:tc>
          <w:tcPr>
            <w:tcW w:w="1161" w:type="pct"/>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①②各占1/2权重分，符合对应要素得相应权重分。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①预算资金分配依据是否充分；</w:t>
            </w:r>
          </w:p>
        </w:tc>
        <w:tc>
          <w:tcPr>
            <w:tcW w:w="842" w:type="pct"/>
            <w:vMerge w:val="continue"/>
            <w:tcBorders>
              <w:top w:val="nil"/>
              <w:left w:val="single" w:color="auto" w:sz="4"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trPr>
        <w:tc>
          <w:tcPr>
            <w:tcW w:w="363" w:type="pct"/>
            <w:vMerge w:val="continue"/>
            <w:tcBorders>
              <w:top w:val="nil"/>
              <w:left w:val="single" w:color="000000" w:sz="8" w:space="0"/>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②资金分配额度是否合理，与项目单位或地方实际是否相适应。</w:t>
            </w:r>
          </w:p>
        </w:tc>
        <w:tc>
          <w:tcPr>
            <w:tcW w:w="842" w:type="pct"/>
            <w:vMerge w:val="continue"/>
            <w:tcBorders>
              <w:top w:val="nil"/>
              <w:left w:val="single" w:color="auto" w:sz="4" w:space="0"/>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363" w:type="pct"/>
            <w:vMerge w:val="restart"/>
            <w:tcBorders>
              <w:top w:val="single" w:color="auto" w:sz="4" w:space="0"/>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过程</w:t>
            </w:r>
          </w:p>
        </w:tc>
        <w:tc>
          <w:tcPr>
            <w:tcW w:w="242" w:type="pct"/>
            <w:vMerge w:val="restart"/>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37" w:type="pct"/>
            <w:vMerge w:val="restart"/>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资金管理</w:t>
            </w:r>
          </w:p>
        </w:tc>
        <w:tc>
          <w:tcPr>
            <w:tcW w:w="321" w:type="pct"/>
            <w:vMerge w:val="restart"/>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95"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资金到位率</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3" w:type="pct"/>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实际到位资金与预算资金的比率，用以反映和考核资金落实情况对项目实施的总体保障程度。</w:t>
            </w:r>
          </w:p>
        </w:tc>
        <w:tc>
          <w:tcPr>
            <w:tcW w:w="1161" w:type="pct"/>
            <w:tcBorders>
              <w:top w:val="single" w:color="auto" w:sz="4" w:space="0"/>
              <w:left w:val="single" w:color="000000" w:sz="8"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资金到位率=（实际到位资金/预算资金）×100%。</w:t>
            </w:r>
          </w:p>
        </w:tc>
        <w:tc>
          <w:tcPr>
            <w:tcW w:w="8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①资金到位率≥90%，得指标分值的100%；②80%≦资金到位率＜90%，得指标分值的80%；③60%≦资金到位率＜80%，得指标分值的50%；④资金到位率＜60%，不得分。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实际到位资金：一定时期（本年度或项目期）内落实到具体项目的资金。</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预算资金：一定时期（本年度或项目期）内预算安排到具体项目的资金。</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3" w:type="pct"/>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项目预算资金是否按照计划执行，用以反映或考核项目预算执行情况。</w:t>
            </w:r>
          </w:p>
        </w:tc>
        <w:tc>
          <w:tcPr>
            <w:tcW w:w="1161"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预算执行率=（实际支出资金/实际到位资金）×100%。</w:t>
            </w:r>
          </w:p>
        </w:tc>
        <w:tc>
          <w:tcPr>
            <w:tcW w:w="842"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①预算执行率≥90%，得指标分值的100%；②80%≦预算执行率＜90%，得指标分值的80%；③60%≦预算执行率＜80%，得指标分值的50%；④预算执行率＜60%，不得分。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实际支出资金：一定时期（本年度或项目期）内项目实际拨付的资金。</w:t>
            </w:r>
          </w:p>
        </w:tc>
        <w:tc>
          <w:tcPr>
            <w:tcW w:w="842"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资金使用合规性</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3" w:type="pct"/>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项目资金使用是否符合相关的财务管理制度规定，用以反映和考核项目资金的规范运行情况。</w:t>
            </w: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①②③④各占1/4权重分，符合对应要素得相应权重分。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①是否符合国家财经法规和财务管理制度以及有关专项资金管理办法的规定；</w:t>
            </w:r>
          </w:p>
        </w:tc>
        <w:tc>
          <w:tcPr>
            <w:tcW w:w="842" w:type="pct"/>
            <w:vMerge w:val="continue"/>
            <w:tcBorders>
              <w:top w:val="single" w:color="auto" w:sz="4" w:space="0"/>
              <w:left w:val="nil"/>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②资金的拨付是否有完整的审批程序和手续；</w:t>
            </w:r>
          </w:p>
        </w:tc>
        <w:tc>
          <w:tcPr>
            <w:tcW w:w="842" w:type="pct"/>
            <w:vMerge w:val="continue"/>
            <w:tcBorders>
              <w:top w:val="single" w:color="auto" w:sz="4" w:space="0"/>
              <w:left w:val="nil"/>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③是否符合项目预算批复或政策规定的用途；</w:t>
            </w:r>
          </w:p>
        </w:tc>
        <w:tc>
          <w:tcPr>
            <w:tcW w:w="842" w:type="pct"/>
            <w:vMerge w:val="continue"/>
            <w:tcBorders>
              <w:top w:val="single" w:color="auto" w:sz="4" w:space="0"/>
              <w:left w:val="nil"/>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4" w:hRule="atLeast"/>
        </w:trPr>
        <w:tc>
          <w:tcPr>
            <w:tcW w:w="363" w:type="pct"/>
            <w:vMerge w:val="continue"/>
            <w:tcBorders>
              <w:top w:val="nil"/>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④是否存在截留、挤占、挪用、虚列支出等情况。</w:t>
            </w:r>
          </w:p>
        </w:tc>
        <w:tc>
          <w:tcPr>
            <w:tcW w:w="842" w:type="pct"/>
            <w:vMerge w:val="continue"/>
            <w:tcBorders>
              <w:top w:val="single" w:color="auto" w:sz="4" w:space="0"/>
              <w:left w:val="nil"/>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363" w:type="pct"/>
            <w:vMerge w:val="continue"/>
            <w:tcBorders>
              <w:top w:val="single" w:color="auto" w:sz="4" w:space="0"/>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restart"/>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组织实施</w:t>
            </w:r>
          </w:p>
        </w:tc>
        <w:tc>
          <w:tcPr>
            <w:tcW w:w="321" w:type="pct"/>
            <w:vMerge w:val="restart"/>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95"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管理制度健全性</w:t>
            </w:r>
          </w:p>
        </w:tc>
        <w:tc>
          <w:tcPr>
            <w:tcW w:w="221" w:type="pct"/>
            <w:vMerge w:val="restart"/>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13" w:type="pct"/>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1161" w:type="pct"/>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评价要点：</w:t>
            </w:r>
          </w:p>
        </w:tc>
        <w:tc>
          <w:tcPr>
            <w:tcW w:w="842" w:type="pct"/>
            <w:vMerge w:val="restart"/>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①②各占1/2权重分，符合对应要素得相应权重分。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①是否已制定或具有相应的财务和业务管理制度；</w:t>
            </w:r>
          </w:p>
        </w:tc>
        <w:tc>
          <w:tcPr>
            <w:tcW w:w="842"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63" w:type="pct"/>
            <w:vMerge w:val="continue"/>
            <w:tcBorders>
              <w:top w:val="nil"/>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②财务和业务管理制度是否合法、合规、完整。</w:t>
            </w:r>
          </w:p>
        </w:tc>
        <w:tc>
          <w:tcPr>
            <w:tcW w:w="842"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1" w:hRule="atLeast"/>
        </w:trPr>
        <w:tc>
          <w:tcPr>
            <w:tcW w:w="363"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single" w:color="auto" w:sz="4" w:space="0"/>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制度执行有效性</w:t>
            </w:r>
          </w:p>
        </w:tc>
        <w:tc>
          <w:tcPr>
            <w:tcW w:w="221" w:type="pct"/>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项目实施是否符合相关管理规定，用以反映和考核相关管理制度的有效执行情况。</w:t>
            </w:r>
          </w:p>
        </w:tc>
        <w:tc>
          <w:tcPr>
            <w:tcW w:w="1161" w:type="pct"/>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评价要点：                                       ①是否遵守相关法律法规和相关管理规定；          </w:t>
            </w:r>
          </w:p>
        </w:tc>
        <w:tc>
          <w:tcPr>
            <w:tcW w:w="8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①②③④</w:t>
            </w:r>
            <w:r>
              <w:rPr>
                <w:rStyle w:val="13"/>
                <w:lang w:val="en-US" w:eastAsia="zh-CN" w:bidi="ar"/>
              </w:rPr>
              <w:t>⑤⑥</w:t>
            </w:r>
            <w:r>
              <w:rPr>
                <w:rStyle w:val="14"/>
                <w:lang w:val="en-US" w:eastAsia="zh-CN" w:bidi="ar"/>
              </w:rPr>
              <w:t>各占1/6权重分，符合对应要素得相应权重分。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363" w:type="pct"/>
            <w:vMerge w:val="continue"/>
            <w:tcBorders>
              <w:top w:val="single" w:color="auto" w:sz="4" w:space="0"/>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single" w:color="auto" w:sz="4"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②项目资金拨付审批程序是否完整</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5"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③发放临时救助金是否按规定直接支付到救助对象个人账户；实物发放是否有发放的明细、数量信息。</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0"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④救助事由、救助金额和经办人签字以及盖章手续审核手续等是否齐全，救助金额的认定程序是否合理。</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363" w:type="pct"/>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⑤</w:t>
            </w:r>
            <w:r>
              <w:rPr>
                <w:rStyle w:val="14"/>
                <w:lang w:val="en-US" w:eastAsia="zh-CN" w:bidi="ar"/>
              </w:rPr>
              <w:t>申报材料及审批资料等资料内容要素是否齐全并及时归档</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363" w:type="pct"/>
            <w:vMerge w:val="continue"/>
            <w:tcBorders>
              <w:top w:val="nil"/>
              <w:left w:val="single" w:color="auto" w:sz="4"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 w:type="pct"/>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1" w:type="pct"/>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61"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⑥会计核算方面是否准确</w:t>
            </w:r>
          </w:p>
        </w:tc>
        <w:tc>
          <w:tcPr>
            <w:tcW w:w="8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63" w:type="pct"/>
            <w:vMerge w:val="restar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w:t>
            </w:r>
          </w:p>
        </w:tc>
        <w:tc>
          <w:tcPr>
            <w:tcW w:w="242" w:type="pct"/>
            <w:vMerge w:val="restart"/>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437" w:type="pct"/>
            <w:tcBorders>
              <w:top w:val="single" w:color="auto" w:sz="4"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产出数量</w:t>
            </w:r>
          </w:p>
        </w:tc>
        <w:tc>
          <w:tcPr>
            <w:tcW w:w="321" w:type="pct"/>
            <w:tcBorders>
              <w:top w:val="single" w:color="auto"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95" w:type="pct"/>
            <w:tcBorders>
              <w:top w:val="single" w:color="auto" w:sz="4" w:space="0"/>
              <w:left w:val="single" w:color="000000" w:sz="8" w:space="0"/>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补助人数（人次）</w:t>
            </w:r>
          </w:p>
        </w:tc>
        <w:tc>
          <w:tcPr>
            <w:tcW w:w="221"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3" w:type="pct"/>
            <w:tcBorders>
              <w:top w:val="single" w:color="auto" w:sz="4"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考核享受临时救助人次情况</w:t>
            </w:r>
          </w:p>
        </w:tc>
        <w:tc>
          <w:tcPr>
            <w:tcW w:w="1161" w:type="pct"/>
            <w:tcBorders>
              <w:top w:val="single" w:color="auto" w:sz="4" w:space="0"/>
              <w:left w:val="single" w:color="000000" w:sz="8" w:space="0"/>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核查享受临时救助人次情况</w:t>
            </w:r>
          </w:p>
        </w:tc>
        <w:tc>
          <w:tcPr>
            <w:tcW w:w="842"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达到目标的，得满分；未完成按比例得分。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产出质量</w:t>
            </w:r>
          </w:p>
        </w:tc>
        <w:tc>
          <w:tcPr>
            <w:tcW w:w="321" w:type="pct"/>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9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足额发放率</w:t>
            </w:r>
          </w:p>
        </w:tc>
        <w:tc>
          <w:tcPr>
            <w:tcW w:w="2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3"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考核对补贴人员资金是否足额发放</w:t>
            </w:r>
          </w:p>
        </w:tc>
        <w:tc>
          <w:tcPr>
            <w:tcW w:w="116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对享受临时救助人员资金是否足额发放</w:t>
            </w:r>
          </w:p>
        </w:tc>
        <w:tc>
          <w:tcPr>
            <w:tcW w:w="84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足额发放的，得满分；未足额发放的，按比例得分。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产出时效</w:t>
            </w:r>
          </w:p>
        </w:tc>
        <w:tc>
          <w:tcPr>
            <w:tcW w:w="3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95"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发放补贴及时率</w:t>
            </w:r>
          </w:p>
        </w:tc>
        <w:tc>
          <w:tcPr>
            <w:tcW w:w="2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13"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考核发放补贴是否及时</w:t>
            </w:r>
          </w:p>
        </w:tc>
        <w:tc>
          <w:tcPr>
            <w:tcW w:w="116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是否按照文件的规定及时发放救助金</w:t>
            </w:r>
          </w:p>
        </w:tc>
        <w:tc>
          <w:tcPr>
            <w:tcW w:w="84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及时发放的，得满分；否则得应比例分。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5" w:hRule="atLeast"/>
        </w:trPr>
        <w:tc>
          <w:tcPr>
            <w:tcW w:w="363"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95"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成本控制有效性</w:t>
            </w:r>
          </w:p>
        </w:tc>
        <w:tc>
          <w:tcPr>
            <w:tcW w:w="221"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1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完成项目计划工作目标的实际节约成本与计划成本的比率和预算执行率，用以反映和考核项目的成本节约程度。</w:t>
            </w:r>
          </w:p>
        </w:tc>
        <w:tc>
          <w:tcPr>
            <w:tcW w:w="1161" w:type="pc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成本是否超过预算。</w:t>
            </w:r>
          </w:p>
        </w:tc>
        <w:tc>
          <w:tcPr>
            <w:tcW w:w="842" w:type="pc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满足得满分；否则按比例得分。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1" w:hRule="atLeast"/>
        </w:trPr>
        <w:tc>
          <w:tcPr>
            <w:tcW w:w="36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w:t>
            </w:r>
          </w:p>
        </w:tc>
        <w:tc>
          <w:tcPr>
            <w:tcW w:w="242"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37" w:type="pct"/>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321" w:type="pct"/>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补助资金覆盖率</w:t>
            </w:r>
          </w:p>
        </w:tc>
        <w:tc>
          <w:tcPr>
            <w:tcW w:w="221"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13" w:type="pct"/>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考核救助资金覆盖情况。</w:t>
            </w:r>
          </w:p>
        </w:tc>
        <w:tc>
          <w:tcPr>
            <w:tcW w:w="11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补助资金覆盖范围情况</w:t>
            </w:r>
          </w:p>
        </w:tc>
        <w:tc>
          <w:tcPr>
            <w:tcW w:w="842"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按认定人员全额发放得满分；否则按比列扣分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36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321" w:type="pct"/>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95"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形成临时救助与慈善事业及其他社会救助措施各有侧重、相互衔接、良性互动的运行机制，有效保障困难群众的基本生活。</w:t>
            </w:r>
          </w:p>
        </w:tc>
        <w:tc>
          <w:tcPr>
            <w:tcW w:w="2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13"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考核临时救助机制的运行有效性</w:t>
            </w:r>
          </w:p>
        </w:tc>
        <w:tc>
          <w:tcPr>
            <w:tcW w:w="116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是否做到应救尽救，救助及时，救助适度</w:t>
            </w:r>
          </w:p>
        </w:tc>
        <w:tc>
          <w:tcPr>
            <w:tcW w:w="84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满足得满分；否则按比例得分。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36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321"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95"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救助对象的满意度</w:t>
            </w:r>
          </w:p>
        </w:tc>
        <w:tc>
          <w:tcPr>
            <w:tcW w:w="2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13" w:type="pct"/>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考核群众的满意程度。</w:t>
            </w:r>
          </w:p>
        </w:tc>
        <w:tc>
          <w:tcPr>
            <w:tcW w:w="116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对象满意度是否达到100%</w:t>
            </w:r>
          </w:p>
        </w:tc>
        <w:tc>
          <w:tcPr>
            <w:tcW w:w="84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满足得满分；否则按比例得分。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3" w:type="pct"/>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42" w:type="pct"/>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37" w:type="pct"/>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21"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95"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1"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13" w:type="pct"/>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61" w:type="pct"/>
            <w:tcBorders>
              <w:top w:val="nil"/>
              <w:left w:val="nil"/>
              <w:bottom w:val="single" w:color="000000" w:sz="8" w:space="0"/>
              <w:right w:val="single" w:color="000000" w:sz="8"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842" w:type="pct"/>
            <w:tcBorders>
              <w:top w:val="nil"/>
              <w:left w:val="nil"/>
              <w:bottom w:val="single" w:color="000000" w:sz="8" w:space="0"/>
              <w:right w:val="single" w:color="000000" w:sz="8"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bl>
    <w:p>
      <w:pPr>
        <w:pStyle w:val="2"/>
        <w:ind w:left="0" w:leftChars="0" w:firstLine="0" w:firstLineChars="0"/>
        <w:rPr>
          <w:rFonts w:hint="eastAsia"/>
          <w:lang w:val="en-US" w:eastAsia="zh-CN"/>
        </w:rPr>
        <w:sectPr>
          <w:footerReference r:id="rId6" w:type="default"/>
          <w:pgSz w:w="16838" w:h="11906" w:orient="landscape"/>
          <w:pgMar w:top="1800" w:right="1440" w:bottom="1066" w:left="1440" w:header="851" w:footer="680" w:gutter="0"/>
          <w:pgNumType w:fmt="decimal"/>
          <w:cols w:space="425" w:num="1"/>
          <w:docGrid w:type="lines" w:linePitch="312" w:charSpace="0"/>
        </w:sectPr>
      </w:pPr>
    </w:p>
    <w:p>
      <w:pPr>
        <w:keepNext w:val="0"/>
        <w:keepLines w:val="0"/>
        <w:pageBreakBefore w:val="0"/>
        <w:widowControl/>
        <w:suppressLineNumbers w:val="0"/>
        <w:kinsoku/>
        <w:wordWrap/>
        <w:overflowPunct/>
        <w:topLinePunct w:val="0"/>
        <w:autoSpaceDE/>
        <w:autoSpaceDN/>
        <w:bidi w:val="0"/>
        <w:spacing w:line="24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 xml:space="preserve">（四）绩效评价工作过程 </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1、准备阶段</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由武陟县财政局进行前期沟通并召开会议布置相关工作，确定评价对象和范围，下达绩效评价通知，评价目的、内容、任务、依据、评价时间和要求；（第三方机构）成立项目组，负责联络本次绩效评价的相关部门及人员，收集相关资料，撰写前期调研方案并在一周以内补充完善。</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2、制定工作方案阶段</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由项目组成员与武陟县民政局、财政局进行充分沟通，了解项目的实施背景、计划实施内容、组织管理流程等与项目相关的信息，并收集项目立项文件、资金拨付、监督使用等文件资料；根据武陟县财政局的要求，结合项目的特点，形成项目评价的总体思路，设计项目绩效评价工作方案，并就绩效评价流程、绩效评价目标、绩效评价指标、评价标准和评价方法等具体内容进行充分沟通。</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3、数据收集和现场核查阶段</w:t>
      </w:r>
    </w:p>
    <w:p>
      <w:pPr>
        <w:keepNext w:val="0"/>
        <w:keepLines w:val="0"/>
        <w:pageBreakBefore w:val="0"/>
        <w:widowControl/>
        <w:suppressLineNumbers w:val="0"/>
        <w:kinsoku/>
        <w:wordWrap/>
        <w:overflowPunct/>
        <w:topLinePunct w:val="0"/>
        <w:autoSpaceDE/>
        <w:autoSpaceDN/>
        <w:bidi w:val="0"/>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根据制定好的工作方案，由项目组成员与被评价单位进行沟通，收集相关数据，并对收集的数据汇总和分析；采取现场调研、查验访问等方式进行实地验证核实；根据评价工作方案确定的评价指标、评价标准和评价方法，对评价对象的绩效情况进行全面的定量定性分析和综合评价，形成初步评价结论，并与被评价单位交换意见。</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4、撰写绩效评价报告</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照规定的文本格式和要求撰写绩效评价报告，报告内容详实，逻辑清晰，结论鲜明，依据真实、充分，底稿及附件齐全，在规定的时间内向评价组织者提交初步的绩效评价报告，经评审后修改完善并提交正式绩效评价报告并按时递交采购方。</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5、完善绩效评价报告</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sz w:val="28"/>
          <w:szCs w:val="28"/>
          <w:lang w:val="en-US" w:eastAsia="zh-CN"/>
        </w:rPr>
        <w:t>根据专家的评审意见修改完善绩效评价报告，及时报委托方确认。</w:t>
      </w:r>
    </w:p>
    <w:p>
      <w:pPr>
        <w:keepNext w:val="0"/>
        <w:keepLines w:val="0"/>
        <w:pageBreakBefore w:val="0"/>
        <w:widowControl/>
        <w:suppressLineNumbers w:val="0"/>
        <w:kinsoku/>
        <w:wordWrap/>
        <w:overflowPunct/>
        <w:topLinePunct w:val="0"/>
        <w:autoSpaceDE/>
        <w:autoSpaceDN/>
        <w:bidi w:val="0"/>
        <w:spacing w:line="24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color w:val="000000"/>
          <w:kern w:val="0"/>
          <w:sz w:val="28"/>
          <w:szCs w:val="28"/>
          <w:highlight w:val="none"/>
          <w:lang w:val="en-US" w:eastAsia="zh-CN" w:bidi="ar"/>
        </w:rPr>
        <w:t xml:space="preserve">三、绩效评价指标分析 </w:t>
      </w:r>
    </w:p>
    <w:p>
      <w:pPr>
        <w:keepNext w:val="0"/>
        <w:keepLines w:val="0"/>
        <w:pageBreakBefore w:val="0"/>
        <w:widowControl/>
        <w:suppressLineNumbers w:val="0"/>
        <w:kinsoku/>
        <w:wordWrap/>
        <w:overflowPunct/>
        <w:topLinePunct w:val="0"/>
        <w:autoSpaceDE/>
        <w:autoSpaceDN/>
        <w:bidi w:val="0"/>
        <w:spacing w:line="240" w:lineRule="auto"/>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（一）</w:t>
      </w:r>
      <w:r>
        <w:rPr>
          <w:rFonts w:hint="eastAsia" w:ascii="仿宋" w:hAnsi="仿宋" w:eastAsia="仿宋" w:cs="仿宋"/>
          <w:b/>
          <w:bCs/>
          <w:color w:val="000000"/>
          <w:kern w:val="0"/>
          <w:sz w:val="28"/>
          <w:szCs w:val="28"/>
          <w:highlight w:val="none"/>
          <w:lang w:val="en-US" w:eastAsia="zh-CN" w:bidi="ar"/>
        </w:rPr>
        <w:t>项目决策情况</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包括3个二级指标，6个三级指标，共15分，得分12分。具体情况如下：</w:t>
      </w:r>
    </w:p>
    <w:p>
      <w:pPr>
        <w:pStyle w:val="2"/>
        <w:keepNext w:val="0"/>
        <w:keepLines w:val="0"/>
        <w:pageBreakBefore w:val="0"/>
        <w:kinsoku/>
        <w:wordWrap/>
        <w:overflowPunct/>
        <w:topLinePunct w:val="0"/>
        <w:autoSpaceDE/>
        <w:autoSpaceDN/>
        <w:bidi w:val="0"/>
        <w:spacing w:line="240" w:lineRule="auto"/>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项目立项5分，主要评价立项依据充分性（2分）、立项程序规范性（3分）。得分4分，扣1分。扣分原因为《焦作市人民政府办公室关于进一步完善焦作市城乡困难群众临时救助制度的通知》（焦政办（2014）16号）规定： 从2014年起，市财政按照每年不低于500万元，县级财政按照本辖区人口数每人每年1.5元标准安排临时救助资金，并列入本级财政预算。经网上查询，2022武陟县人口66.13万元，应为99.195万元。没有依文件的规定按人口数计算，据了解是沿用以前数据。</w:t>
      </w:r>
    </w:p>
    <w:p>
      <w:pPr>
        <w:pStyle w:val="2"/>
        <w:keepNext w:val="0"/>
        <w:keepLines w:val="0"/>
        <w:pageBreakBefore w:val="0"/>
        <w:kinsoku/>
        <w:wordWrap/>
        <w:overflowPunct/>
        <w:topLinePunct w:val="0"/>
        <w:autoSpaceDE/>
        <w:autoSpaceDN/>
        <w:bidi w:val="0"/>
        <w:spacing w:line="240" w:lineRule="auto"/>
        <w:jc w:val="left"/>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项目目标6分，主要评价绩效目标（3分）、绩效指标（3分）。绩效目标依据充分，符合客观实际，绩效指标清晰、细化、可衡量，得分5分，扣1分。扣分原因为106万元目标表中计划救助人数5000人次以上，实际发放资金97.51万元945人次，不太匹配。</w:t>
      </w:r>
    </w:p>
    <w:p>
      <w:pPr>
        <w:pStyle w:val="2"/>
        <w:keepNext w:val="0"/>
        <w:keepLines w:val="0"/>
        <w:pageBreakBefore w:val="0"/>
        <w:kinsoku/>
        <w:wordWrap/>
        <w:overflowPunct/>
        <w:topLinePunct w:val="0"/>
        <w:autoSpaceDE/>
        <w:autoSpaceDN/>
        <w:bidi w:val="0"/>
        <w:spacing w:line="240" w:lineRule="auto"/>
        <w:ind w:left="0" w:leftChars="0" w:firstLine="560" w:firstLineChars="200"/>
        <w:jc w:val="left"/>
        <w:textAlignment w:val="auto"/>
        <w:rPr>
          <w:rFonts w:hint="default" w:ascii="仿宋" w:hAnsi="仿宋" w:eastAsia="仿宋" w:cs="仿宋"/>
          <w:color w:val="000000"/>
          <w:kern w:val="0"/>
          <w:sz w:val="28"/>
          <w:szCs w:val="28"/>
          <w:highlight w:val="yellow"/>
          <w:lang w:val="en-US" w:eastAsia="zh-CN" w:bidi="ar"/>
        </w:rPr>
      </w:pPr>
      <w:r>
        <w:rPr>
          <w:rFonts w:hint="eastAsia" w:ascii="仿宋" w:hAnsi="仿宋" w:eastAsia="仿宋" w:cs="仿宋"/>
          <w:color w:val="000000"/>
          <w:kern w:val="0"/>
          <w:sz w:val="28"/>
          <w:szCs w:val="28"/>
          <w:highlight w:val="none"/>
          <w:lang w:val="en-US" w:eastAsia="zh-CN" w:bidi="ar"/>
        </w:rPr>
        <w:t>资金投入4分，主要评价预算编制科学性（2分）、资金分配合理性（2分）。得分3分，扣1分。扣分原因为预算额度测算依据不够充分，未按规定县级财政按照本辖区人口数每人每年1.5元标准安排临时救助资金，并列入本级财政预算。经网上查询，2022武陟县人口66.13万元，应为99.195万元。没有按人口数计算，据了解是沿用以前数据。</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630" w:leftChars="0"/>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（二）项目过程情况</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包括2个二级指标，5个三级指标，共25分，得分17.35分。具体情况如下：</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资金管理15分，主要评价资金到位率（5分）、预算执行率（5分）、资金使用合规性（5分）。得分10.25分，扣4.75分；扣分原因为：2022年该项目预算资金106万元，使用调剂至乡镇户资金905820元，资金到位率85.45%，未达到90%，扣1分；2022年实际支付临时救助资金975110元（包括中央资金327333元，乡镇户调剂资金647777元），预算执行率=975110/1233153=79.07%；本级项目预算执行率=647777/905820=71.51%，扣2.5分；项目资金指标调整拨付至各乡镇备用金账户通知书审批中，业务科室和预算科仅盖章，经手人处无人签字，存档编号空，通知书领取人栏空白，整个表中无任何年月日。手续不完整，扣1.25分。</w:t>
      </w:r>
    </w:p>
    <w:p>
      <w:pPr>
        <w:pStyle w:val="2"/>
        <w:keepNext w:val="0"/>
        <w:keepLines w:val="0"/>
        <w:pageBreakBefore w:val="0"/>
        <w:numPr>
          <w:ilvl w:val="0"/>
          <w:numId w:val="0"/>
        </w:numPr>
        <w:kinsoku/>
        <w:wordWrap/>
        <w:overflowPunct/>
        <w:topLinePunct w:val="0"/>
        <w:autoSpaceDE/>
        <w:autoSpaceDN/>
        <w:bidi w:val="0"/>
        <w:spacing w:line="240" w:lineRule="auto"/>
        <w:ind w:firstLine="6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组织实施10分，主要评价管理制度健全性(2分)、制度执行有效性(8分）。得分7.10分，扣2.90分；扣分原因为：</w:t>
      </w:r>
    </w:p>
    <w:p>
      <w:pPr>
        <w:pStyle w:val="2"/>
        <w:keepNext w:val="0"/>
        <w:keepLines w:val="0"/>
        <w:pageBreakBefore w:val="0"/>
        <w:numPr>
          <w:ilvl w:val="0"/>
          <w:numId w:val="0"/>
        </w:numPr>
        <w:kinsoku/>
        <w:wordWrap/>
        <w:overflowPunct/>
        <w:topLinePunct w:val="0"/>
        <w:autoSpaceDE/>
        <w:autoSpaceDN/>
        <w:bidi w:val="0"/>
        <w:spacing w:line="240" w:lineRule="auto"/>
        <w:ind w:firstLine="6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项目资金指标调整拨付至各乡镇备用金账户通知书审批中，业务科室和预算科仅盖章，经手人处无人签字，存档编号空，通知书领取人栏空白，整个表中无任何年月日。手续不完整，扣0.5分。</w:t>
      </w:r>
    </w:p>
    <w:p>
      <w:pPr>
        <w:pStyle w:val="2"/>
        <w:keepNext w:val="0"/>
        <w:keepLines w:val="0"/>
        <w:pageBreakBefore w:val="0"/>
        <w:numPr>
          <w:ilvl w:val="0"/>
          <w:numId w:val="0"/>
        </w:numPr>
        <w:kinsoku/>
        <w:wordWrap/>
        <w:overflowPunct/>
        <w:topLinePunct w:val="0"/>
        <w:autoSpaceDE/>
        <w:autoSpaceDN/>
        <w:bidi w:val="0"/>
        <w:spacing w:line="240" w:lineRule="auto"/>
        <w:ind w:firstLine="6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 xml:space="preserve">根据其提供的2022年全年临时救助发放名册汇总表资料显示：存在有临时救助对象姓名和银行账户开户名不一致有69人涉及83551元，且无关系说明，同时实物发放未列明发放的是什么实物及数量信息等，扣0.8分。 </w:t>
      </w:r>
    </w:p>
    <w:p>
      <w:pPr>
        <w:pStyle w:val="2"/>
        <w:keepNext w:val="0"/>
        <w:keepLines w:val="0"/>
        <w:pageBreakBefore w:val="0"/>
        <w:numPr>
          <w:ilvl w:val="0"/>
          <w:numId w:val="0"/>
        </w:numPr>
        <w:kinsoku/>
        <w:wordWrap/>
        <w:overflowPunct/>
        <w:topLinePunct w:val="0"/>
        <w:autoSpaceDE/>
        <w:autoSpaceDN/>
        <w:bidi w:val="0"/>
        <w:spacing w:line="240" w:lineRule="auto"/>
        <w:ind w:firstLine="6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急难型临时救助审批表中存在救助类别和困难程度认定相同而救助金额不一致的情况，其原因未在审批表中作进一步说明。如同为“急难，困难较重，B类”对应的补助金额有1800/1200元两个金额；同为“急难，困难较轻，B类”对应的补助金额有800和600元两个金额。</w:t>
      </w:r>
    </w:p>
    <w:p>
      <w:pPr>
        <w:pStyle w:val="2"/>
        <w:keepNext w:val="0"/>
        <w:keepLines w:val="0"/>
        <w:pageBreakBefore w:val="0"/>
        <w:numPr>
          <w:ilvl w:val="0"/>
          <w:numId w:val="0"/>
        </w:numPr>
        <w:kinsoku/>
        <w:wordWrap/>
        <w:overflowPunct/>
        <w:topLinePunct w:val="0"/>
        <w:autoSpaceDE/>
        <w:autoSpaceDN/>
        <w:bidi w:val="0"/>
        <w:spacing w:line="240" w:lineRule="auto"/>
        <w:ind w:firstLine="6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乡镇以支出审批（统计表）代替材料调查审核，没有对临时救助对象的一事一审进行审批，仅对统计表进行审批，且经办人为一人签字，不符合《焦作市人民政府办公室关于进一步完善焦作市城乡困难群众临时救助制度的通知》（焦政办【2014】16号）“五（二）审核。乡镇办事处应当自受理临时救助申请之日起10个工作日内，在村（居）民委员会协助下，组织工作人员对申请人家庭经济状况和实际生活情况逐一进行调查核实。每组调查人员不得少于2人。”的规定，扣0.4分。</w:t>
      </w:r>
    </w:p>
    <w:p>
      <w:pPr>
        <w:pStyle w:val="2"/>
        <w:keepNext w:val="0"/>
        <w:keepLines w:val="0"/>
        <w:pageBreakBefore w:val="0"/>
        <w:numPr>
          <w:ilvl w:val="0"/>
          <w:numId w:val="0"/>
        </w:numPr>
        <w:kinsoku/>
        <w:wordWrap/>
        <w:overflowPunct/>
        <w:topLinePunct w:val="0"/>
        <w:autoSpaceDE/>
        <w:autoSpaceDN/>
        <w:bidi w:val="0"/>
        <w:spacing w:line="240" w:lineRule="auto"/>
        <w:ind w:firstLine="6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2022年共收到和使用中央资金327333元，存在一笔因重复支付收回款项2603元作为自有资金使用，造成该项目资金账面收支与实际收支（明细）不符。扣0.6分。</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30" w:leftChars="0" w:firstLine="600" w:firstLineChars="0"/>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（四）项目产出情况</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包括4个二级指标，4个三级指标，共35分，得分29分。具体情况如下：</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产出数量15分，主要评价考核享受临时救助人次情况（15分）。得分9分，扣6分。扣分原因为2022年度实际发放中央和本级（含乡镇）资金以及实物补贴人数共计2786人次（其中发放资金945人，实物救助人次1841人），占目标人次0.5万的55.72%。可能目标人次分解的有点高。</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产出质量15分，主要评价考核救助资金是否足额发放（15分）。已足额发放，得15分；</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产出时效3分，主要评价是否按照文件的规定及时发放救助资金（3分）。均已及时发放救助资金，得分3分；</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成本指标2分，主要评价成本控制的有效性（2分）。核查成本是否超过预算，单位预算资金106万元，资金支付使用调剂至乡镇户资金905820元，财政收回资金154180元，资金到位率85.45%，预算执行率71.51%（647777/905820），不超预算，得分2分。</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30" w:leftChars="0" w:firstLine="600" w:firstLineChars="0"/>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（五）项目效益情况 </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包括3个二级指标，3个三级指标，共25分，得分25分。具体情况如下：</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 xml:space="preserve">社会效益9分，主要评价救助资金覆盖率（9分）。按照申请、初审、审核、审批程序确定临时救助对象，做到应救尽救，得9分； </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可持续影响8分，主要评价考核临时救助机制的运行有效性，做到应救尽救（9分）。严格执行申请、审核和审批程序，遵循救急救难、及时有效，公开公平公正，量力而行、尽力而为的原则，确保临时救助制度落到实处。得8分。</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jc w:val="left"/>
        <w:textAlignment w:val="auto"/>
        <w:rPr>
          <w:rFonts w:hint="default" w:ascii="仿宋" w:hAnsi="仿宋" w:eastAsia="仿宋" w:cs="仿宋"/>
          <w:color w:val="000000"/>
          <w:kern w:val="0"/>
          <w:sz w:val="28"/>
          <w:szCs w:val="28"/>
          <w:highlight w:val="yellow"/>
          <w:lang w:val="en-US" w:eastAsia="zh-CN" w:bidi="ar"/>
        </w:rPr>
      </w:pPr>
      <w:r>
        <w:rPr>
          <w:rFonts w:hint="eastAsia" w:ascii="仿宋" w:hAnsi="仿宋" w:eastAsia="仿宋" w:cs="仿宋"/>
          <w:color w:val="000000"/>
          <w:kern w:val="0"/>
          <w:sz w:val="28"/>
          <w:szCs w:val="28"/>
          <w:highlight w:val="none"/>
          <w:lang w:val="en-US" w:eastAsia="zh-CN" w:bidi="ar"/>
        </w:rPr>
        <w:t>服务对象满意度指标8分，主要考核救助对象的满意度（8分）。经过抽查救助对象的满意度100%，得分8分。</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firstLine="562" w:firstLineChars="200"/>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四、综合评价情况及评价结论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8"/>
          <w:szCs w:val="28"/>
          <w:highlight w:val="yellow"/>
          <w:lang w:val="en-US" w:eastAsia="zh-CN" w:bidi="ar"/>
        </w:rPr>
      </w:pPr>
      <w:r>
        <w:rPr>
          <w:rFonts w:hint="eastAsia" w:ascii="仿宋_GB2312" w:hAnsi="仿宋_GB2312" w:eastAsia="仿宋_GB2312" w:cs="仿宋_GB2312"/>
          <w:b/>
          <w:bCs/>
          <w:color w:val="000000"/>
          <w:kern w:val="0"/>
          <w:sz w:val="30"/>
          <w:szCs w:val="30"/>
          <w:highlight w:val="none"/>
          <w:lang w:val="en-US" w:eastAsia="zh-CN" w:bidi="ar"/>
        </w:rPr>
        <w:t xml:space="preserve">   </w:t>
      </w:r>
      <w:r>
        <w:rPr>
          <w:rFonts w:hint="eastAsia" w:ascii="仿宋" w:hAnsi="仿宋" w:eastAsia="仿宋" w:cs="仿宋"/>
          <w:color w:val="000000"/>
          <w:kern w:val="0"/>
          <w:sz w:val="28"/>
          <w:szCs w:val="28"/>
          <w:highlight w:val="none"/>
          <w:lang w:val="en-US" w:eastAsia="zh-CN" w:bidi="ar"/>
        </w:rPr>
        <w:t>武陟县民政局城乡困难群众临时救助项目重点绩效评价综合得分83.35分，绩效评价等级为“良”。</w:t>
      </w:r>
    </w:p>
    <w:p>
      <w:pPr>
        <w:pStyle w:val="2"/>
        <w:keepNext w:val="0"/>
        <w:keepLines w:val="0"/>
        <w:pageBreakBefore w:val="0"/>
        <w:numPr>
          <w:ilvl w:val="0"/>
          <w:numId w:val="0"/>
        </w:numPr>
        <w:kinsoku/>
        <w:wordWrap/>
        <w:overflowPunct/>
        <w:topLinePunct w:val="0"/>
        <w:autoSpaceDE/>
        <w:autoSpaceDN/>
        <w:bidi w:val="0"/>
        <w:spacing w:line="240" w:lineRule="auto"/>
        <w:ind w:firstLine="560" w:firstLineChars="200"/>
        <w:textAlignment w:val="auto"/>
        <w:rPr>
          <w:rFonts w:hint="eastAsia" w:ascii="仿宋" w:hAnsi="仿宋" w:eastAsia="仿宋" w:cs="仿宋"/>
          <w:b w:val="0"/>
          <w:bCs w:val="0"/>
          <w:color w:val="000000"/>
          <w:kern w:val="0"/>
          <w:sz w:val="28"/>
          <w:szCs w:val="28"/>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具体得分情况如下表：</w:t>
      </w:r>
    </w:p>
    <w:tbl>
      <w:tblPr>
        <w:tblStyle w:val="1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0"/>
        <w:gridCol w:w="961"/>
        <w:gridCol w:w="1331"/>
        <w:gridCol w:w="909"/>
        <w:gridCol w:w="2410"/>
        <w:gridCol w:w="1179"/>
        <w:gridCol w:w="11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69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519"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19"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91"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302"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3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37" w:type="pc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18"/>
                <w:szCs w:val="18"/>
                <w:u w:val="none"/>
                <w:lang w:val="en-US" w:eastAsia="zh-CN" w:bidi="ar"/>
              </w:rPr>
              <w:t>评价得分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决策</w:t>
            </w:r>
          </w:p>
        </w:tc>
        <w:tc>
          <w:tcPr>
            <w:tcW w:w="5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项目立项</w:t>
            </w:r>
          </w:p>
        </w:tc>
        <w:tc>
          <w:tcPr>
            <w:tcW w:w="49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立项依据充分性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立项程序规范性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项目目标</w:t>
            </w:r>
          </w:p>
        </w:tc>
        <w:tc>
          <w:tcPr>
            <w:tcW w:w="49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绩效目标</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资金投入</w:t>
            </w:r>
          </w:p>
        </w:tc>
        <w:tc>
          <w:tcPr>
            <w:tcW w:w="49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预算编制科学性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资金分配合理性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过程</w:t>
            </w:r>
          </w:p>
        </w:tc>
        <w:tc>
          <w:tcPr>
            <w:tcW w:w="5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资金管理</w:t>
            </w:r>
          </w:p>
        </w:tc>
        <w:tc>
          <w:tcPr>
            <w:tcW w:w="49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资金到位率</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组织实施</w:t>
            </w:r>
          </w:p>
        </w:tc>
        <w:tc>
          <w:tcPr>
            <w:tcW w:w="491"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管理制度健全性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1"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2"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制度执行有效性</w:t>
            </w:r>
          </w:p>
        </w:tc>
        <w:tc>
          <w:tcPr>
            <w:tcW w:w="637" w:type="pct"/>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7" w:type="pct"/>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9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w:t>
            </w:r>
          </w:p>
        </w:tc>
        <w:tc>
          <w:tcPr>
            <w:tcW w:w="519"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19"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产出数量</w:t>
            </w:r>
          </w:p>
        </w:tc>
        <w:tc>
          <w:tcPr>
            <w:tcW w:w="49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02"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救助人数（人次）</w:t>
            </w:r>
          </w:p>
        </w:tc>
        <w:tc>
          <w:tcPr>
            <w:tcW w:w="63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37" w:type="pc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产出质量</w:t>
            </w:r>
          </w:p>
        </w:tc>
        <w:tc>
          <w:tcPr>
            <w:tcW w:w="491" w:type="pct"/>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0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足额发放率</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产出时效</w:t>
            </w:r>
          </w:p>
        </w:tc>
        <w:tc>
          <w:tcPr>
            <w:tcW w:w="4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02"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发放补贴及时率</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9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02"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成本控制有效性</w:t>
            </w:r>
          </w:p>
        </w:tc>
        <w:tc>
          <w:tcPr>
            <w:tcW w:w="637"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7" w:type="pct"/>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w:t>
            </w:r>
          </w:p>
        </w:tc>
        <w:tc>
          <w:tcPr>
            <w:tcW w:w="519"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19" w:type="pct"/>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491" w:type="pct"/>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救助资金覆盖率</w:t>
            </w:r>
          </w:p>
        </w:tc>
        <w:tc>
          <w:tcPr>
            <w:tcW w:w="63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637" w:type="pc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491" w:type="pct"/>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02"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考核临时救助机制的运行有效性</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9"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91"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02"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救助对象的满意度</w:t>
            </w:r>
          </w:p>
        </w:tc>
        <w:tc>
          <w:tcPr>
            <w:tcW w:w="63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692" w:type="pct"/>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519" w:type="pct"/>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19" w:type="pct"/>
            <w:tcBorders>
              <w:top w:val="nil"/>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91"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02" w:type="pct"/>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37"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83.35</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五、存在的问题及原因分析</w:t>
      </w:r>
      <w:r>
        <w:rPr>
          <w:rFonts w:hint="eastAsia" w:ascii="仿宋" w:hAnsi="仿宋" w:eastAsia="仿宋" w:cs="仿宋"/>
          <w:color w:val="000000"/>
          <w:kern w:val="0"/>
          <w:sz w:val="28"/>
          <w:szCs w:val="28"/>
          <w:highlight w:val="none"/>
          <w:lang w:val="en-US" w:eastAsia="zh-CN" w:bidi="ar"/>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（一）存在的问题</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0" w:leftChars="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color w:val="auto"/>
          <w:sz w:val="28"/>
          <w:szCs w:val="36"/>
          <w:highlight w:val="none"/>
          <w:lang w:val="en-US" w:eastAsia="zh-CN"/>
        </w:rPr>
        <w:t>1、预算金额沿用上年数据，未考虑人口数的变量。</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8"/>
          <w:szCs w:val="36"/>
          <w:highlight w:val="none"/>
          <w:lang w:val="en-US" w:eastAsia="zh-CN"/>
        </w:rPr>
        <w:t>《焦作市人民政府办公室关于进一步完善焦作市城乡困难群众临时救助制度的通知》（焦政办（2014）16号）规定： 从2014年起，市财政按照每年不低于500万元，县级财政按照本辖区人口数每人每年1.5元标准安排临时救助资金，并列入本级财政预算。经网上查询，2022武陟县人口66.13万元，应为99.195万元。没有按人口数计算，据了解是沿用以前数据。</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630" w:leftChars="0" w:firstLine="0" w:firstLineChars="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color w:val="auto"/>
          <w:kern w:val="2"/>
          <w:sz w:val="28"/>
          <w:szCs w:val="36"/>
          <w:lang w:val="en-US" w:eastAsia="zh-CN" w:bidi="ar-SA"/>
        </w:rPr>
        <w:t>2、</w:t>
      </w:r>
      <w:r>
        <w:rPr>
          <w:rFonts w:hint="eastAsia" w:ascii="仿宋" w:hAnsi="仿宋" w:eastAsia="仿宋" w:cs="仿宋"/>
          <w:color w:val="auto"/>
          <w:sz w:val="28"/>
          <w:szCs w:val="36"/>
          <w:highlight w:val="none"/>
          <w:lang w:val="en-US" w:eastAsia="zh-CN"/>
        </w:rPr>
        <w:t>资金到位率和预算执行率均有待提高。</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auto"/>
          <w:sz w:val="28"/>
          <w:szCs w:val="36"/>
          <w:highlight w:val="none"/>
          <w:lang w:val="en-US" w:eastAsia="zh-CN"/>
        </w:rPr>
        <w:t>2022年该项目预算资金106万元，仅收到且调剂至乡镇户资金905820元，资金到位率85.45%，尚不足90%。预算执行率</w:t>
      </w:r>
      <w:r>
        <w:rPr>
          <w:rFonts w:hint="eastAsia" w:ascii="仿宋" w:hAnsi="仿宋" w:eastAsia="仿宋" w:cs="仿宋"/>
          <w:color w:val="000000"/>
          <w:kern w:val="0"/>
          <w:sz w:val="28"/>
          <w:szCs w:val="28"/>
          <w:highlight w:val="none"/>
          <w:lang w:val="en-US" w:eastAsia="zh-CN" w:bidi="ar"/>
        </w:rPr>
        <w:t xml:space="preserve">仅为71.51%。 </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auto"/>
          <w:sz w:val="28"/>
          <w:szCs w:val="36"/>
          <w:highlight w:val="yellow"/>
          <w:lang w:val="en-US" w:eastAsia="zh-CN"/>
        </w:rPr>
      </w:pPr>
      <w:r>
        <w:rPr>
          <w:rFonts w:hint="eastAsia" w:ascii="仿宋" w:hAnsi="仿宋" w:eastAsia="仿宋" w:cs="仿宋"/>
          <w:color w:val="000000"/>
          <w:kern w:val="0"/>
          <w:sz w:val="28"/>
          <w:szCs w:val="28"/>
          <w:highlight w:val="none"/>
          <w:lang w:val="en-US" w:eastAsia="zh-CN" w:bidi="ar"/>
        </w:rPr>
        <w:t>3、项目资金指标调整审批内容不完整。存在业务科室和预算科仅盖章，经手人处无人签字，存档编号空白，通知书领取人栏空白，整个表中未显示任何年月日。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4、急难型临时救助审批表中存在救助类别和困难程度认定相同而救助金额不一致的情况，其原因未在审批表中作进一步说明。</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乡镇以支出审批（统计表）代替材料调查审核，没有对临时救助对象的一事一审进行审批，仅对统计表进行审批，且经办人为一人签字，不符合《焦作市人民政府办公室关于进一步完善焦作市城乡困难群众临时救助制度的通知》（焦政办【2014】16号）五（二）审核。乡镇办事处应当自受理临时救助申请之日起10个工作日内，在村（居）民委员会协助下，组织工作人员对申请人家庭经济状况和实际生活情况逐一进行调查核实。每组调查人员不得少于2人。</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6、项目资金账面收支与实际收支（明细）存在不符情况。存在一笔因重复支付收回款项2603元作为自有资金使用，造成该项目资金账面收支与实际收支（明细）不符。</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562" w:firstLineChars="200"/>
        <w:textAlignment w:val="auto"/>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原因分析</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0" w:leftChars="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color w:val="auto"/>
          <w:sz w:val="28"/>
          <w:szCs w:val="36"/>
          <w:highlight w:val="none"/>
          <w:lang w:val="en-US" w:eastAsia="zh-CN"/>
        </w:rPr>
        <w:t>1、忽视了人口数这个变量对预算金额的影响。</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color w:val="auto"/>
          <w:sz w:val="28"/>
          <w:szCs w:val="36"/>
          <w:highlight w:val="none"/>
          <w:lang w:val="en-US" w:eastAsia="zh-CN"/>
        </w:rPr>
        <w:t>2、</w:t>
      </w:r>
      <w:r>
        <w:rPr>
          <w:rFonts w:hint="eastAsia" w:ascii="仿宋" w:hAnsi="仿宋" w:eastAsia="仿宋" w:cs="仿宋"/>
          <w:color w:val="000000"/>
          <w:kern w:val="0"/>
          <w:sz w:val="28"/>
          <w:szCs w:val="28"/>
          <w:highlight w:val="none"/>
          <w:lang w:val="en-US" w:eastAsia="zh-CN" w:bidi="ar"/>
        </w:rPr>
        <w:t>未及时对预算执行率进行评估，未及时申请预算调整，进而提高</w:t>
      </w:r>
      <w:r>
        <w:rPr>
          <w:rFonts w:hint="eastAsia" w:ascii="仿宋" w:hAnsi="仿宋" w:eastAsia="仿宋" w:cs="仿宋"/>
          <w:color w:val="auto"/>
          <w:sz w:val="28"/>
          <w:szCs w:val="36"/>
          <w:highlight w:val="none"/>
          <w:lang w:val="en-US" w:eastAsia="zh-CN"/>
        </w:rPr>
        <w:t>资金到位率和预算执行率。</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3、忽视了项目资金指标调整审批内容的签字等细节。</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 2022年没有形成专门对救助金额的确定设定具体认定的程序。经了解，2023年的认定程序已有较完善的轨迹可查。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5、不够充分关注乡镇以统计表审批替代调查核实的一事一审的签批程序。</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6、未充分关注因支付重复收回款项作自有资金处理造成了账面项目收支与实际收支的不符。</w:t>
      </w:r>
    </w:p>
    <w:p>
      <w:pPr>
        <w:pStyle w:val="2"/>
        <w:keepNext w:val="0"/>
        <w:keepLines w:val="0"/>
        <w:pageBreakBefore w:val="0"/>
        <w:widowControl w:val="0"/>
        <w:numPr>
          <w:ilvl w:val="0"/>
          <w:numId w:val="0"/>
        </w:numPr>
        <w:kinsoku/>
        <w:wordWrap/>
        <w:overflowPunct/>
        <w:topLinePunct w:val="0"/>
        <w:autoSpaceDE/>
        <w:autoSpaceDN/>
        <w:bidi w:val="0"/>
        <w:spacing w:line="240" w:lineRule="auto"/>
        <w:ind w:firstLine="562" w:firstLineChars="200"/>
        <w:jc w:val="both"/>
        <w:textAlignment w:val="auto"/>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 xml:space="preserve">六、有关建议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b w:val="0"/>
          <w:bCs w:val="0"/>
          <w:color w:val="auto"/>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1、建议按照绩效目标认真、严谨对待年初预算，做到测算依据充分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auto"/>
          <w:sz w:val="28"/>
          <w:szCs w:val="36"/>
          <w:highlight w:val="none"/>
          <w:lang w:val="en-US" w:eastAsia="zh-CN"/>
        </w:rPr>
      </w:pPr>
      <w:r>
        <w:rPr>
          <w:rFonts w:hint="eastAsia" w:ascii="仿宋" w:hAnsi="仿宋" w:eastAsia="仿宋" w:cs="仿宋"/>
          <w:b w:val="0"/>
          <w:bCs w:val="0"/>
          <w:color w:val="auto"/>
          <w:kern w:val="0"/>
          <w:sz w:val="28"/>
          <w:szCs w:val="28"/>
          <w:highlight w:val="none"/>
          <w:lang w:val="en-US" w:eastAsia="zh-CN" w:bidi="ar"/>
        </w:rPr>
        <w:t>2、建议</w:t>
      </w:r>
      <w:r>
        <w:rPr>
          <w:rFonts w:hint="eastAsia" w:ascii="仿宋" w:hAnsi="仿宋" w:eastAsia="仿宋" w:cs="仿宋"/>
          <w:color w:val="000000"/>
          <w:kern w:val="0"/>
          <w:sz w:val="28"/>
          <w:szCs w:val="28"/>
          <w:highlight w:val="none"/>
          <w:lang w:val="en-US" w:eastAsia="zh-CN" w:bidi="ar"/>
        </w:rPr>
        <w:t>及时对预算执行率进行评估，及时申请对预算进行调整，从而提高</w:t>
      </w:r>
      <w:r>
        <w:rPr>
          <w:rFonts w:hint="eastAsia" w:ascii="仿宋" w:hAnsi="仿宋" w:eastAsia="仿宋" w:cs="仿宋"/>
          <w:color w:val="auto"/>
          <w:sz w:val="28"/>
          <w:szCs w:val="36"/>
          <w:highlight w:val="none"/>
          <w:lang w:val="en-US" w:eastAsia="zh-CN"/>
        </w:rPr>
        <w:t>资金到位率和预算执行率。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3、及时完善</w:t>
      </w:r>
      <w:r>
        <w:rPr>
          <w:rFonts w:hint="eastAsia" w:ascii="仿宋" w:hAnsi="仿宋" w:eastAsia="仿宋" w:cs="仿宋"/>
          <w:color w:val="000000"/>
          <w:kern w:val="0"/>
          <w:sz w:val="28"/>
          <w:szCs w:val="28"/>
          <w:highlight w:val="none"/>
          <w:lang w:val="en-US" w:eastAsia="zh-CN" w:bidi="ar"/>
        </w:rPr>
        <w:t>项目资金指标调整审批内容的签字等细节，并做好复核。</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560" w:firstLineChars="20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4、由于规定的临时救助标准档次较多，存在较高的主观判断，建议按照《焦作市临时救助实施细则》（焦民[2020]7号）文件“第九条救助标准（一）急难型临时救助标准。</w:t>
      </w:r>
      <w:r>
        <w:rPr>
          <w:rFonts w:hint="default" w:ascii="仿宋" w:hAnsi="仿宋" w:eastAsia="仿宋" w:cs="仿宋"/>
          <w:color w:val="000000"/>
          <w:kern w:val="0"/>
          <w:sz w:val="28"/>
          <w:szCs w:val="28"/>
          <w:highlight w:val="none"/>
          <w:lang w:val="en-US" w:eastAsia="zh-CN" w:bidi="ar"/>
        </w:rPr>
        <w:t>”</w:t>
      </w:r>
      <w:r>
        <w:rPr>
          <w:rFonts w:hint="eastAsia" w:ascii="仿宋" w:hAnsi="仿宋" w:eastAsia="仿宋" w:cs="仿宋"/>
          <w:color w:val="000000"/>
          <w:kern w:val="0"/>
          <w:sz w:val="28"/>
          <w:szCs w:val="28"/>
          <w:highlight w:val="none"/>
          <w:lang w:val="en-US" w:eastAsia="zh-CN" w:bidi="ar"/>
        </w:rPr>
        <w:t>的规定，设定不同类别、不同困难程度确定的救助金额，并考虑家庭救助人数和救助时长（不超6个月）的因素，并形成专门的对救助对象救助金额标准的选择设定具体认定的程序，尽量做到客观公正公平。</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560" w:firstLineChars="200"/>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5、建议</w:t>
      </w:r>
      <w:r>
        <w:rPr>
          <w:rFonts w:hint="eastAsia" w:ascii="仿宋" w:hAnsi="仿宋" w:eastAsia="仿宋" w:cs="仿宋"/>
          <w:color w:val="000000"/>
          <w:kern w:val="0"/>
          <w:sz w:val="28"/>
          <w:szCs w:val="28"/>
          <w:highlight w:val="none"/>
          <w:lang w:val="en-US" w:eastAsia="zh-CN" w:bidi="ar"/>
        </w:rPr>
        <w:t>乡镇办事处自受理临时救助申请之日起10个工作日内，在村（居）民委员会协助下，组织工作人员对申请人家庭经济状况和实际生活情况逐一进行调查核实，做到一户一表、一事一审，且每组调查人员不得少于2人签字。</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auto"/>
          <w:kern w:val="0"/>
          <w:sz w:val="28"/>
          <w:szCs w:val="28"/>
          <w:highlight w:val="none"/>
          <w:lang w:val="en-US" w:eastAsia="zh-CN" w:bidi="ar"/>
        </w:rPr>
        <w:t>6、</w:t>
      </w:r>
      <w:r>
        <w:rPr>
          <w:rFonts w:hint="eastAsia" w:ascii="仿宋" w:hAnsi="仿宋" w:eastAsia="仿宋" w:cs="仿宋"/>
          <w:color w:val="000000"/>
          <w:kern w:val="0"/>
          <w:sz w:val="28"/>
          <w:szCs w:val="28"/>
          <w:highlight w:val="none"/>
          <w:lang w:val="en-US" w:eastAsia="zh-CN" w:bidi="ar"/>
        </w:rPr>
        <w:t>建议对账面收支与实际收支不符的情况及时查找原因，进行账务处理。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 w:val="0"/>
          <w:bCs w:val="0"/>
          <w:color w:val="000000"/>
          <w:kern w:val="0"/>
          <w:sz w:val="28"/>
          <w:szCs w:val="28"/>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                                   河南德之诚会计师事务所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160" w:firstLineChars="2200"/>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（普通合伙）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                                       2023年8月20日</w:t>
      </w:r>
    </w:p>
    <w:sectPr>
      <w:footerReference r:id="rId7" w:type="default"/>
      <w:pgSz w:w="11906" w:h="16838"/>
      <w:pgMar w:top="1440" w:right="1066"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216"/>
        <w:tab w:val="clear" w:pos="4153"/>
      </w:tabs>
      <w:rPr>
        <w:rFonts w:hint="default"/>
        <w:u w:val="single"/>
        <w:lang w:val="en-US"/>
      </w:rPr>
    </w:pPr>
    <w:r>
      <w:rPr>
        <w:sz w:val="18"/>
        <w:u w:val="single"/>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u w:val="single"/>
        <w:lang w:val="en-US" w:eastAsia="zh-CN"/>
      </w:rPr>
      <w:t>河南德之诚会计师事务所（普通合伙）                                                 电话：0391-8193295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u w:val="single"/>
        <w:lang w:val="en-US"/>
      </w:rPr>
    </w:pPr>
    <w:r>
      <w:rPr>
        <w:sz w:val="18"/>
        <w:u w:val="single"/>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u w:val="single"/>
        <w:lang w:val="en-US" w:eastAsia="zh-CN"/>
      </w:rPr>
      <w:t>河南德之诚会计师事务所（普通合伙）                                                                                                       电话：0391-8193295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u w:val="single"/>
        <w:lang w:val="en-US"/>
      </w:rPr>
    </w:pPr>
    <w:r>
      <w:rPr>
        <w:sz w:val="18"/>
        <w:u w:val="single"/>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u w:val="single"/>
        <w:lang w:val="en-US" w:eastAsia="zh-CN"/>
      </w:rPr>
      <w:t>河南德之诚会计师事务所（普通合伙）                                                电话：0391-8193295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jc w:val="right"/>
    </w:pPr>
    <w:r>
      <w:rPr>
        <w:rFonts w:hint="eastAsia"/>
      </w:rPr>
      <w:t>武陟县民政局2022年城乡困难群众临时救助项目支出绩效评价报告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A8816D"/>
    <w:multiLevelType w:val="singleLevel"/>
    <w:tmpl w:val="39A8816D"/>
    <w:lvl w:ilvl="0" w:tentative="0">
      <w:start w:val="3"/>
      <w:numFmt w:val="chineseCounting"/>
      <w:suff w:val="nothing"/>
      <w:lvlText w:val="%1、"/>
      <w:lvlJc w:val="left"/>
      <w:rPr>
        <w:rFonts w:hint="eastAsia"/>
      </w:rPr>
    </w:lvl>
  </w:abstractNum>
  <w:abstractNum w:abstractNumId="1">
    <w:nsid w:val="75C83753"/>
    <w:multiLevelType w:val="singleLevel"/>
    <w:tmpl w:val="75C8375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mZWJmOTFlY2NkYjQ3ZmY1Y2ExOWNlNTE2ZDk0ZjQifQ=="/>
  </w:docVars>
  <w:rsids>
    <w:rsidRoot w:val="783A79DC"/>
    <w:rsid w:val="00D9012D"/>
    <w:rsid w:val="010C7318"/>
    <w:rsid w:val="0139423D"/>
    <w:rsid w:val="01695955"/>
    <w:rsid w:val="02BD75DA"/>
    <w:rsid w:val="03353B7A"/>
    <w:rsid w:val="03D36DD8"/>
    <w:rsid w:val="046F608B"/>
    <w:rsid w:val="04D61037"/>
    <w:rsid w:val="05456AFA"/>
    <w:rsid w:val="06B73033"/>
    <w:rsid w:val="072E7C66"/>
    <w:rsid w:val="07327ADD"/>
    <w:rsid w:val="074F538E"/>
    <w:rsid w:val="088160CF"/>
    <w:rsid w:val="08E62A26"/>
    <w:rsid w:val="08EF41E9"/>
    <w:rsid w:val="09115CEA"/>
    <w:rsid w:val="09F12C43"/>
    <w:rsid w:val="0A081A83"/>
    <w:rsid w:val="0AD30922"/>
    <w:rsid w:val="0B1B2CDB"/>
    <w:rsid w:val="0DB73790"/>
    <w:rsid w:val="0F0E1AF2"/>
    <w:rsid w:val="0FF94B18"/>
    <w:rsid w:val="10426D04"/>
    <w:rsid w:val="10B24D5B"/>
    <w:rsid w:val="1117761C"/>
    <w:rsid w:val="11D85B84"/>
    <w:rsid w:val="12261720"/>
    <w:rsid w:val="130A69E3"/>
    <w:rsid w:val="13880C65"/>
    <w:rsid w:val="139C6B94"/>
    <w:rsid w:val="144B31AD"/>
    <w:rsid w:val="14A132EE"/>
    <w:rsid w:val="14D95C33"/>
    <w:rsid w:val="14E54F2C"/>
    <w:rsid w:val="15B11221"/>
    <w:rsid w:val="17591572"/>
    <w:rsid w:val="178070FD"/>
    <w:rsid w:val="1A2015F5"/>
    <w:rsid w:val="1B7C5E2D"/>
    <w:rsid w:val="1C1522D5"/>
    <w:rsid w:val="1D646B79"/>
    <w:rsid w:val="1D9B084E"/>
    <w:rsid w:val="1DA17DCD"/>
    <w:rsid w:val="1DED23DB"/>
    <w:rsid w:val="1E4E27CB"/>
    <w:rsid w:val="1E72091C"/>
    <w:rsid w:val="1FB0243F"/>
    <w:rsid w:val="20115DF1"/>
    <w:rsid w:val="20CF4B6B"/>
    <w:rsid w:val="21FB19FE"/>
    <w:rsid w:val="22731C67"/>
    <w:rsid w:val="235C2CE5"/>
    <w:rsid w:val="25375A45"/>
    <w:rsid w:val="25537BB9"/>
    <w:rsid w:val="26B75B85"/>
    <w:rsid w:val="27280C17"/>
    <w:rsid w:val="293220A8"/>
    <w:rsid w:val="29347D47"/>
    <w:rsid w:val="29DB519E"/>
    <w:rsid w:val="2A39016D"/>
    <w:rsid w:val="2BAA63EF"/>
    <w:rsid w:val="2C084588"/>
    <w:rsid w:val="2CC82C80"/>
    <w:rsid w:val="2D5900C2"/>
    <w:rsid w:val="2D5D4890"/>
    <w:rsid w:val="2D7A15F3"/>
    <w:rsid w:val="2E2209F9"/>
    <w:rsid w:val="2F5E22E3"/>
    <w:rsid w:val="2F6A6CEE"/>
    <w:rsid w:val="2F7B3E9F"/>
    <w:rsid w:val="302E2616"/>
    <w:rsid w:val="31823CC9"/>
    <w:rsid w:val="31EF34E5"/>
    <w:rsid w:val="31EF4861"/>
    <w:rsid w:val="32BA374A"/>
    <w:rsid w:val="33AF04A8"/>
    <w:rsid w:val="346B5785"/>
    <w:rsid w:val="350C54BA"/>
    <w:rsid w:val="363E597B"/>
    <w:rsid w:val="36C83B49"/>
    <w:rsid w:val="373C496B"/>
    <w:rsid w:val="38271830"/>
    <w:rsid w:val="384076C7"/>
    <w:rsid w:val="38D06231"/>
    <w:rsid w:val="38D44C07"/>
    <w:rsid w:val="39B31025"/>
    <w:rsid w:val="3BB5043F"/>
    <w:rsid w:val="3BB708AB"/>
    <w:rsid w:val="3BE6324C"/>
    <w:rsid w:val="3C1E180D"/>
    <w:rsid w:val="3D37534A"/>
    <w:rsid w:val="3D8160CC"/>
    <w:rsid w:val="3EF625C0"/>
    <w:rsid w:val="40A5632C"/>
    <w:rsid w:val="417B5F9F"/>
    <w:rsid w:val="41B566D2"/>
    <w:rsid w:val="424511C4"/>
    <w:rsid w:val="428423C7"/>
    <w:rsid w:val="437873BA"/>
    <w:rsid w:val="459919E5"/>
    <w:rsid w:val="46063728"/>
    <w:rsid w:val="46742D4F"/>
    <w:rsid w:val="46F86AF1"/>
    <w:rsid w:val="47505945"/>
    <w:rsid w:val="47B47940"/>
    <w:rsid w:val="48945DF2"/>
    <w:rsid w:val="49265412"/>
    <w:rsid w:val="495B0EEB"/>
    <w:rsid w:val="495C586F"/>
    <w:rsid w:val="4A513E5D"/>
    <w:rsid w:val="4A767D68"/>
    <w:rsid w:val="4A991828"/>
    <w:rsid w:val="4ACF1866"/>
    <w:rsid w:val="4B7E1692"/>
    <w:rsid w:val="4BC70343"/>
    <w:rsid w:val="4CB60D09"/>
    <w:rsid w:val="4CBD0FB8"/>
    <w:rsid w:val="4CC24ABC"/>
    <w:rsid w:val="4F222821"/>
    <w:rsid w:val="501F743D"/>
    <w:rsid w:val="50DF23BD"/>
    <w:rsid w:val="50ED1257"/>
    <w:rsid w:val="524D5852"/>
    <w:rsid w:val="52CF7D1B"/>
    <w:rsid w:val="52E54576"/>
    <w:rsid w:val="53D6090A"/>
    <w:rsid w:val="53F96617"/>
    <w:rsid w:val="545C7FCE"/>
    <w:rsid w:val="547A2BC3"/>
    <w:rsid w:val="54907C78"/>
    <w:rsid w:val="54FA5374"/>
    <w:rsid w:val="555B388F"/>
    <w:rsid w:val="55F815DA"/>
    <w:rsid w:val="57050EBD"/>
    <w:rsid w:val="574B4A97"/>
    <w:rsid w:val="575A4546"/>
    <w:rsid w:val="578A6FF4"/>
    <w:rsid w:val="588319B4"/>
    <w:rsid w:val="58B86D77"/>
    <w:rsid w:val="596C1230"/>
    <w:rsid w:val="59907FC7"/>
    <w:rsid w:val="5A7C0E90"/>
    <w:rsid w:val="5B7C64D0"/>
    <w:rsid w:val="5C380A6E"/>
    <w:rsid w:val="5CE44548"/>
    <w:rsid w:val="5D5259B0"/>
    <w:rsid w:val="5DDC6A66"/>
    <w:rsid w:val="5FA8056B"/>
    <w:rsid w:val="60C43183"/>
    <w:rsid w:val="619D6570"/>
    <w:rsid w:val="6267097D"/>
    <w:rsid w:val="62A57DDC"/>
    <w:rsid w:val="63156C37"/>
    <w:rsid w:val="63D752A9"/>
    <w:rsid w:val="642E587E"/>
    <w:rsid w:val="643729F0"/>
    <w:rsid w:val="64493FC4"/>
    <w:rsid w:val="64867A7B"/>
    <w:rsid w:val="657C7634"/>
    <w:rsid w:val="66F3673A"/>
    <w:rsid w:val="67B853FA"/>
    <w:rsid w:val="68351C81"/>
    <w:rsid w:val="69780FAF"/>
    <w:rsid w:val="699F6F31"/>
    <w:rsid w:val="6A4D543E"/>
    <w:rsid w:val="6A9E3D4E"/>
    <w:rsid w:val="6AC06500"/>
    <w:rsid w:val="6B344FFD"/>
    <w:rsid w:val="6B68047A"/>
    <w:rsid w:val="6B79766E"/>
    <w:rsid w:val="6C727EEE"/>
    <w:rsid w:val="6CDA79D9"/>
    <w:rsid w:val="6DB16B82"/>
    <w:rsid w:val="6DC55351"/>
    <w:rsid w:val="6E2C09F2"/>
    <w:rsid w:val="6ECF43E8"/>
    <w:rsid w:val="6EFF5EFE"/>
    <w:rsid w:val="70A45A08"/>
    <w:rsid w:val="723B2A78"/>
    <w:rsid w:val="72AA025B"/>
    <w:rsid w:val="736501E3"/>
    <w:rsid w:val="736E5083"/>
    <w:rsid w:val="73F24715"/>
    <w:rsid w:val="7499577B"/>
    <w:rsid w:val="74AC7D5E"/>
    <w:rsid w:val="74E814FA"/>
    <w:rsid w:val="750C04F8"/>
    <w:rsid w:val="76940AFB"/>
    <w:rsid w:val="76FC6E31"/>
    <w:rsid w:val="7730418A"/>
    <w:rsid w:val="77A13C49"/>
    <w:rsid w:val="77E42E95"/>
    <w:rsid w:val="78243DC5"/>
    <w:rsid w:val="783A79DC"/>
    <w:rsid w:val="791A748E"/>
    <w:rsid w:val="7A5F28E8"/>
    <w:rsid w:val="7A813A3B"/>
    <w:rsid w:val="7AC535B2"/>
    <w:rsid w:val="7B0776F9"/>
    <w:rsid w:val="7B9F60EF"/>
    <w:rsid w:val="7BC43720"/>
    <w:rsid w:val="7BF936A1"/>
    <w:rsid w:val="7C102435"/>
    <w:rsid w:val="7C490156"/>
    <w:rsid w:val="7C5A398B"/>
    <w:rsid w:val="7CB83EBA"/>
    <w:rsid w:val="7D463926"/>
    <w:rsid w:val="7D986CFA"/>
    <w:rsid w:val="7E520513"/>
    <w:rsid w:val="7F392B36"/>
    <w:rsid w:val="7F3C6183"/>
    <w:rsid w:val="7F4A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unhideWhenUsed/>
    <w:qFormat/>
    <w:uiPriority w:val="99"/>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Autospacing="1" w:afterAutospacing="1"/>
      <w:jc w:val="left"/>
    </w:pPr>
    <w:rPr>
      <w:kern w:val="0"/>
      <w:sz w:val="24"/>
    </w:rPr>
  </w:style>
  <w:style w:type="paragraph" w:customStyle="1" w:styleId="12">
    <w:name w:val="Body Text First Indent1"/>
    <w:basedOn w:val="4"/>
    <w:qFormat/>
    <w:uiPriority w:val="0"/>
    <w:pPr>
      <w:ind w:firstLine="420" w:firstLineChars="100"/>
    </w:pPr>
  </w:style>
  <w:style w:type="character" w:customStyle="1" w:styleId="13">
    <w:name w:val="font31"/>
    <w:basedOn w:val="11"/>
    <w:qFormat/>
    <w:uiPriority w:val="0"/>
    <w:rPr>
      <w:rFonts w:ascii="微软雅黑" w:hAnsi="微软雅黑" w:eastAsia="微软雅黑" w:cs="微软雅黑"/>
      <w:color w:val="000000"/>
      <w:sz w:val="18"/>
      <w:szCs w:val="18"/>
      <w:u w:val="none"/>
    </w:rPr>
  </w:style>
  <w:style w:type="character" w:customStyle="1" w:styleId="14">
    <w:name w:val="font21"/>
    <w:basedOn w:val="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9792</Words>
  <Characters>10259</Characters>
  <Lines>0</Lines>
  <Paragraphs>0</Paragraphs>
  <TotalTime>34</TotalTime>
  <ScaleCrop>false</ScaleCrop>
  <LinksUpToDate>false</LinksUpToDate>
  <CharactersWithSpaces>10390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2021-06-09T01:03:00Z</dcterms:created>
  <dc:creator>开心就好</dc:creator>
  <cp:lastModifiedBy>开心就好</cp:lastModifiedBy>
  <cp:lastPrinted>2021-07-22T02:49:00Z</cp:lastPrinted>
  <dcterms:modified xsi:type="dcterms:W3CDTF">2023-10-13T08:44:46Z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6E7B09B6B9AE4541B15CDD9AC6BE13BA_13</vt:lpwstr>
  </property>
</Properties>
</file>